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36400" w14:textId="19178CC8" w:rsidR="00AC06E9" w:rsidRPr="00C205E9" w:rsidRDefault="00AC06E9" w:rsidP="00C205E9">
      <w:pPr>
        <w:rPr>
          <w:rFonts w:ascii="IBM Plex Sans" w:hAnsi="IBM Plex Sans" w:cstheme="minorHAnsi"/>
          <w:color w:val="55626A"/>
          <w:sz w:val="16"/>
          <w:szCs w:val="16"/>
        </w:rPr>
      </w:pPr>
      <w:r w:rsidRPr="006941FD">
        <w:rPr>
          <w:rFonts w:ascii="IBM Plex Sans" w:hAnsi="IBM Plex Sans" w:cstheme="minorHAnsi"/>
          <w:color w:val="55626A"/>
          <w:sz w:val="16"/>
          <w:szCs w:val="16"/>
          <w:highlight w:val="yellow"/>
        </w:rPr>
        <w:t>Current Date</w:t>
      </w:r>
      <w:r w:rsidR="00145BAF" w:rsidRPr="00C205E9">
        <w:rPr>
          <w:rFonts w:ascii="IBM Plex Sans" w:hAnsi="IBM Plex Sans" w:cstheme="minorHAnsi"/>
          <w:color w:val="55626A"/>
          <w:sz w:val="16"/>
          <w:szCs w:val="16"/>
        </w:rPr>
        <w:t>:</w:t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br/>
      </w:r>
      <w:commentRangeStart w:id="0"/>
      <w:r w:rsidRPr="006941FD">
        <w:rPr>
          <w:rFonts w:ascii="IBM Plex Sans" w:hAnsi="IBM Plex Sans" w:cstheme="minorHAnsi"/>
          <w:color w:val="55626A"/>
          <w:sz w:val="16"/>
          <w:szCs w:val="16"/>
          <w:highlight w:val="yellow"/>
        </w:rPr>
        <w:t xml:space="preserve">Customer </w:t>
      </w:r>
      <w:r w:rsidR="0022288D" w:rsidRPr="006941FD">
        <w:rPr>
          <w:rFonts w:ascii="IBM Plex Sans" w:hAnsi="IBM Plex Sans" w:cstheme="minorHAnsi"/>
          <w:color w:val="55626A"/>
          <w:sz w:val="16"/>
          <w:szCs w:val="16"/>
          <w:highlight w:val="yellow"/>
        </w:rPr>
        <w:t xml:space="preserve">/ </w:t>
      </w:r>
      <w:r w:rsidRPr="006941FD">
        <w:rPr>
          <w:rFonts w:ascii="IBM Plex Sans" w:hAnsi="IBM Plex Sans" w:cstheme="minorHAnsi"/>
          <w:color w:val="55626A"/>
          <w:sz w:val="16"/>
          <w:szCs w:val="16"/>
          <w:highlight w:val="yellow"/>
        </w:rPr>
        <w:t>Company Name</w:t>
      </w:r>
      <w:r w:rsidR="00145BAF" w:rsidRPr="00C205E9">
        <w:rPr>
          <w:rFonts w:ascii="IBM Plex Sans" w:hAnsi="IBM Plex Sans" w:cstheme="minorHAnsi"/>
          <w:color w:val="55626A"/>
          <w:sz w:val="16"/>
          <w:szCs w:val="16"/>
        </w:rPr>
        <w:t>:</w:t>
      </w:r>
      <w:commentRangeEnd w:id="0"/>
      <w:r w:rsidR="002C7A35">
        <w:rPr>
          <w:rStyle w:val="CommentReference"/>
        </w:rPr>
        <w:commentReference w:id="0"/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br/>
      </w:r>
      <w:commentRangeStart w:id="1"/>
      <w:r w:rsidRPr="006941FD">
        <w:rPr>
          <w:rFonts w:ascii="IBM Plex Sans" w:hAnsi="IBM Plex Sans" w:cstheme="minorHAnsi"/>
          <w:color w:val="55626A"/>
          <w:sz w:val="16"/>
          <w:szCs w:val="16"/>
          <w:highlight w:val="yellow"/>
        </w:rPr>
        <w:t>Physical Address</w:t>
      </w:r>
      <w:r w:rsidR="00145BAF" w:rsidRPr="00C205E9">
        <w:rPr>
          <w:rFonts w:ascii="IBM Plex Sans" w:hAnsi="IBM Plex Sans" w:cstheme="minorHAnsi"/>
          <w:color w:val="55626A"/>
          <w:sz w:val="16"/>
          <w:szCs w:val="16"/>
        </w:rPr>
        <w:t>:</w:t>
      </w:r>
      <w:commentRangeEnd w:id="1"/>
      <w:r w:rsidR="006941FD">
        <w:rPr>
          <w:rStyle w:val="CommentReference"/>
        </w:rPr>
        <w:commentReference w:id="1"/>
      </w:r>
    </w:p>
    <w:p w14:paraId="62AE3FBB" w14:textId="77777777" w:rsidR="00550AF2" w:rsidRDefault="00550AF2" w:rsidP="00C205E9">
      <w:pPr>
        <w:rPr>
          <w:rFonts w:ascii="IBM Plex Sans" w:hAnsi="IBM Plex Sans" w:cstheme="minorHAnsi"/>
          <w:color w:val="55626A"/>
          <w:sz w:val="16"/>
          <w:szCs w:val="16"/>
        </w:rPr>
      </w:pPr>
    </w:p>
    <w:p w14:paraId="4A1034F5" w14:textId="047DA1A1" w:rsidR="00AC06E9" w:rsidRPr="00C205E9" w:rsidRDefault="00AC06E9" w:rsidP="00C205E9">
      <w:pPr>
        <w:rPr>
          <w:rFonts w:ascii="IBM Plex Sans" w:hAnsi="IBM Plex Sans" w:cstheme="minorHAnsi"/>
          <w:color w:val="55626A"/>
          <w:sz w:val="16"/>
          <w:szCs w:val="16"/>
        </w:rPr>
      </w:pPr>
      <w:r w:rsidRPr="00C205E9">
        <w:rPr>
          <w:rFonts w:ascii="IBM Plex Sans" w:hAnsi="IBM Plex Sans" w:cstheme="minorHAnsi"/>
          <w:color w:val="55626A"/>
          <w:sz w:val="16"/>
          <w:szCs w:val="16"/>
        </w:rPr>
        <w:tab/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tab/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tab/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tab/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tab/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tab/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tab/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tab/>
      </w:r>
    </w:p>
    <w:p w14:paraId="40EA914C" w14:textId="693DD768" w:rsidR="00AC06E9" w:rsidRPr="00550AF2" w:rsidRDefault="00AC06E9" w:rsidP="00C205E9">
      <w:pPr>
        <w:rPr>
          <w:rFonts w:ascii="IBM Plex Sans" w:hAnsi="IBM Plex Sans" w:cstheme="minorHAnsi"/>
          <w:bCs/>
          <w:color w:val="55626A"/>
          <w:sz w:val="16"/>
          <w:szCs w:val="16"/>
        </w:rPr>
      </w:pPr>
      <w:r w:rsidRPr="00C205E9">
        <w:rPr>
          <w:rFonts w:ascii="IBM Plex Sans" w:hAnsi="IBM Plex Sans" w:cstheme="minorHAnsi"/>
          <w:color w:val="55626A"/>
          <w:sz w:val="16"/>
          <w:szCs w:val="16"/>
        </w:rPr>
        <w:t>To whom it may concern:</w:t>
      </w:r>
      <w:r w:rsidR="00550AF2">
        <w:rPr>
          <w:rFonts w:ascii="IBM Plex Sans" w:hAnsi="IBM Plex Sans" w:cstheme="minorHAnsi"/>
          <w:color w:val="55626A"/>
          <w:sz w:val="16"/>
          <w:szCs w:val="16"/>
        </w:rPr>
        <w:t xml:space="preserve"> </w:t>
      </w:r>
      <w:r w:rsidRPr="00550AF2">
        <w:rPr>
          <w:rFonts w:ascii="IBM Plex Sans" w:hAnsi="IBM Plex Sans" w:cstheme="minorHAnsi"/>
          <w:bCs/>
          <w:color w:val="55626A"/>
          <w:sz w:val="16"/>
          <w:szCs w:val="16"/>
        </w:rPr>
        <w:t>Application to port number(s) to Vox Telecom.</w:t>
      </w:r>
    </w:p>
    <w:p w14:paraId="6D151D29" w14:textId="3780A534" w:rsidR="00AC06E9" w:rsidRPr="00C205E9" w:rsidRDefault="00AC06E9" w:rsidP="00C205E9">
      <w:pPr>
        <w:rPr>
          <w:rFonts w:ascii="IBM Plex Sans" w:hAnsi="IBM Plex Sans" w:cstheme="minorHAnsi"/>
          <w:color w:val="55626A"/>
          <w:sz w:val="16"/>
          <w:szCs w:val="16"/>
        </w:rPr>
      </w:pPr>
      <w:r w:rsidRPr="00C205E9">
        <w:rPr>
          <w:rFonts w:ascii="IBM Plex Sans" w:hAnsi="IBM Plex Sans" w:cstheme="minorHAnsi"/>
          <w:color w:val="55626A"/>
          <w:sz w:val="16"/>
          <w:szCs w:val="16"/>
        </w:rPr>
        <w:t>I hereby submit (Customer</w:t>
      </w:r>
      <w:r w:rsidR="0022288D" w:rsidRPr="00C205E9">
        <w:rPr>
          <w:rFonts w:ascii="IBM Plex Sans" w:hAnsi="IBM Plex Sans" w:cstheme="minorHAnsi"/>
          <w:color w:val="55626A"/>
          <w:sz w:val="16"/>
          <w:szCs w:val="16"/>
        </w:rPr>
        <w:t xml:space="preserve">/ </w:t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t>Company Name) application to port the below listed number(s) to Vox Telecom.</w:t>
      </w:r>
    </w:p>
    <w:p w14:paraId="2CB72F56" w14:textId="77777777" w:rsidR="00766034" w:rsidRPr="00C205E9" w:rsidRDefault="00766034" w:rsidP="00C205E9">
      <w:pPr>
        <w:rPr>
          <w:rFonts w:ascii="IBM Plex Sans" w:hAnsi="IBM Plex Sans" w:cstheme="minorHAnsi"/>
          <w:sz w:val="16"/>
          <w:szCs w:val="16"/>
        </w:rPr>
      </w:pP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5"/>
        <w:gridCol w:w="1843"/>
        <w:gridCol w:w="1701"/>
        <w:gridCol w:w="1559"/>
      </w:tblGrid>
      <w:tr w:rsidR="00145BAF" w:rsidRPr="00C205E9" w14:paraId="75B3BAA3" w14:textId="77777777" w:rsidTr="00550AF2">
        <w:trPr>
          <w:trHeight w:val="878"/>
        </w:trPr>
        <w:tc>
          <w:tcPr>
            <w:tcW w:w="1276" w:type="dxa"/>
          </w:tcPr>
          <w:p w14:paraId="242CED1C" w14:textId="780F8B9F" w:rsidR="00AC06E9" w:rsidRPr="00550AF2" w:rsidRDefault="00AC06E9" w:rsidP="00C205E9">
            <w:pPr>
              <w:rPr>
                <w:rFonts w:ascii="IBM Plex Sans" w:hAnsi="IBM Plex Sans" w:cstheme="minorHAnsi"/>
                <w:b/>
                <w:color w:val="55626A"/>
                <w:sz w:val="14"/>
                <w:szCs w:val="14"/>
              </w:rPr>
            </w:pPr>
            <w:r w:rsidRPr="00550AF2">
              <w:rPr>
                <w:rFonts w:ascii="IBM Plex Sans" w:hAnsi="IBM Plex Sans" w:cstheme="minorHAnsi"/>
                <w:b/>
                <w:color w:val="55626A"/>
                <w:sz w:val="14"/>
                <w:szCs w:val="14"/>
              </w:rPr>
              <w:t>Number Range - Start</w:t>
            </w:r>
          </w:p>
        </w:tc>
        <w:tc>
          <w:tcPr>
            <w:tcW w:w="1276" w:type="dxa"/>
          </w:tcPr>
          <w:p w14:paraId="6A9123BC" w14:textId="77777777" w:rsidR="00AC06E9" w:rsidRPr="00550AF2" w:rsidRDefault="00AC06E9" w:rsidP="00C205E9">
            <w:pPr>
              <w:rPr>
                <w:rFonts w:ascii="IBM Plex Sans" w:hAnsi="IBM Plex Sans" w:cstheme="minorHAnsi"/>
                <w:b/>
                <w:color w:val="55626A"/>
                <w:sz w:val="14"/>
                <w:szCs w:val="14"/>
              </w:rPr>
            </w:pPr>
            <w:r w:rsidRPr="00550AF2">
              <w:rPr>
                <w:rFonts w:ascii="IBM Plex Sans" w:hAnsi="IBM Plex Sans" w:cstheme="minorHAnsi"/>
                <w:b/>
                <w:color w:val="55626A"/>
                <w:sz w:val="14"/>
                <w:szCs w:val="14"/>
              </w:rPr>
              <w:t>Number Range - End</w:t>
            </w:r>
          </w:p>
        </w:tc>
        <w:tc>
          <w:tcPr>
            <w:tcW w:w="1276" w:type="dxa"/>
          </w:tcPr>
          <w:p w14:paraId="5D14D7F5" w14:textId="77777777" w:rsidR="00AC06E9" w:rsidRPr="00550AF2" w:rsidRDefault="00AC06E9" w:rsidP="00C205E9">
            <w:pPr>
              <w:rPr>
                <w:rFonts w:ascii="IBM Plex Sans" w:hAnsi="IBM Plex Sans" w:cstheme="minorHAnsi"/>
                <w:b/>
                <w:color w:val="55626A"/>
                <w:sz w:val="14"/>
                <w:szCs w:val="14"/>
              </w:rPr>
            </w:pPr>
            <w:r w:rsidRPr="00550AF2">
              <w:rPr>
                <w:rFonts w:ascii="IBM Plex Sans" w:hAnsi="IBM Plex Sans" w:cstheme="minorHAnsi"/>
                <w:b/>
                <w:color w:val="55626A"/>
                <w:sz w:val="14"/>
                <w:szCs w:val="14"/>
              </w:rPr>
              <w:t>Block Size</w:t>
            </w:r>
          </w:p>
          <w:p w14:paraId="03ADCB18" w14:textId="791286A1" w:rsidR="00AC06E9" w:rsidRPr="00550AF2" w:rsidRDefault="00310550" w:rsidP="00C205E9">
            <w:pPr>
              <w:rPr>
                <w:rFonts w:ascii="IBM Plex Sans" w:hAnsi="IBM Plex Sans" w:cstheme="minorHAnsi"/>
                <w:b/>
                <w:i/>
                <w:iCs/>
                <w:color w:val="55626A"/>
                <w:sz w:val="14"/>
                <w:szCs w:val="14"/>
              </w:rPr>
            </w:pPr>
            <w:r w:rsidRPr="00550AF2">
              <w:rPr>
                <w:rFonts w:ascii="IBM Plex Sans" w:hAnsi="IBM Plex Sans" w:cstheme="minorHAnsi"/>
                <w:b/>
                <w:i/>
                <w:iCs/>
                <w:color w:val="55626A"/>
                <w:sz w:val="14"/>
                <w:szCs w:val="14"/>
              </w:rPr>
              <w:t>(</w:t>
            </w:r>
            <w:r w:rsidR="00145BAF" w:rsidRPr="00550AF2">
              <w:rPr>
                <w:rFonts w:ascii="IBM Plex Sans" w:hAnsi="IBM Plex Sans" w:cstheme="minorHAnsi"/>
                <w:b/>
                <w:i/>
                <w:iCs/>
                <w:color w:val="55626A"/>
                <w:sz w:val="14"/>
                <w:szCs w:val="14"/>
              </w:rPr>
              <w:t>total</w:t>
            </w:r>
            <w:r w:rsidRPr="00550AF2">
              <w:rPr>
                <w:rFonts w:ascii="IBM Plex Sans" w:hAnsi="IBM Plex Sans" w:cstheme="minorHAnsi"/>
                <w:b/>
                <w:i/>
                <w:iCs/>
                <w:color w:val="55626A"/>
                <w:sz w:val="14"/>
                <w:szCs w:val="14"/>
              </w:rPr>
              <w:t xml:space="preserve"> of numbers</w:t>
            </w:r>
            <w:r w:rsidR="00AC06E9" w:rsidRPr="00550AF2">
              <w:rPr>
                <w:rFonts w:ascii="IBM Plex Sans" w:hAnsi="IBM Plex Sans" w:cstheme="minorHAnsi"/>
                <w:b/>
                <w:i/>
                <w:iCs/>
                <w:color w:val="55626A"/>
                <w:sz w:val="14"/>
                <w:szCs w:val="14"/>
              </w:rPr>
              <w:t>)</w:t>
            </w:r>
          </w:p>
        </w:tc>
        <w:tc>
          <w:tcPr>
            <w:tcW w:w="1275" w:type="dxa"/>
          </w:tcPr>
          <w:p w14:paraId="3D54F936" w14:textId="56BE319C" w:rsidR="00AC06E9" w:rsidRPr="00D94C47" w:rsidRDefault="00AC06E9" w:rsidP="00C205E9">
            <w:pPr>
              <w:rPr>
                <w:rFonts w:ascii="IBM Plex Sans" w:hAnsi="IBM Plex Sans" w:cstheme="minorHAnsi"/>
                <w:b/>
                <w:color w:val="55626A"/>
                <w:sz w:val="14"/>
                <w:szCs w:val="14"/>
              </w:rPr>
            </w:pPr>
            <w:commentRangeStart w:id="2"/>
            <w:r w:rsidRPr="00D94C47">
              <w:rPr>
                <w:rFonts w:ascii="IBM Plex Sans" w:hAnsi="IBM Plex Sans" w:cstheme="minorHAnsi"/>
                <w:b/>
                <w:color w:val="55626A"/>
                <w:sz w:val="14"/>
                <w:szCs w:val="14"/>
              </w:rPr>
              <w:t xml:space="preserve">Type of line </w:t>
            </w:r>
            <w:r w:rsidR="00D95EA3" w:rsidRPr="00D94C47">
              <w:rPr>
                <w:rFonts w:ascii="IBM Plex Sans" w:hAnsi="IBM Plex Sans" w:cstheme="minorHAnsi"/>
                <w:b/>
                <w:color w:val="55626A"/>
                <w:sz w:val="14"/>
                <w:szCs w:val="14"/>
              </w:rPr>
              <w:t>(as per supplier bill</w:t>
            </w:r>
            <w:r w:rsidRPr="00D94C47">
              <w:rPr>
                <w:rFonts w:ascii="IBM Plex Sans" w:hAnsi="IBM Plex Sans" w:cstheme="minorHAnsi"/>
                <w:b/>
                <w:color w:val="55626A"/>
                <w:sz w:val="14"/>
                <w:szCs w:val="14"/>
              </w:rPr>
              <w:t>)</w:t>
            </w:r>
            <w:commentRangeEnd w:id="2"/>
            <w:r w:rsidR="00926F4F">
              <w:rPr>
                <w:rStyle w:val="CommentReference"/>
              </w:rPr>
              <w:commentReference w:id="2"/>
            </w:r>
          </w:p>
        </w:tc>
        <w:tc>
          <w:tcPr>
            <w:tcW w:w="1843" w:type="dxa"/>
          </w:tcPr>
          <w:p w14:paraId="7FE96DDF" w14:textId="77777777" w:rsidR="00AC06E9" w:rsidRPr="00550AF2" w:rsidRDefault="00AC06E9" w:rsidP="00C205E9">
            <w:pPr>
              <w:rPr>
                <w:rFonts w:ascii="IBM Plex Sans" w:hAnsi="IBM Plex Sans" w:cstheme="minorHAnsi"/>
                <w:b/>
                <w:color w:val="55626A"/>
                <w:sz w:val="14"/>
                <w:szCs w:val="14"/>
              </w:rPr>
            </w:pPr>
            <w:r w:rsidRPr="00550AF2">
              <w:rPr>
                <w:rFonts w:ascii="IBM Plex Sans" w:hAnsi="IBM Plex Sans" w:cstheme="minorHAnsi"/>
                <w:b/>
                <w:color w:val="55626A"/>
                <w:sz w:val="14"/>
                <w:szCs w:val="14"/>
              </w:rPr>
              <w:t>Name of existing Network Operator:</w:t>
            </w:r>
          </w:p>
          <w:p w14:paraId="3928FB60" w14:textId="79CCF425" w:rsidR="00AC06E9" w:rsidRPr="00550AF2" w:rsidRDefault="00465A7B" w:rsidP="00C205E9">
            <w:pPr>
              <w:rPr>
                <w:rFonts w:ascii="IBM Plex Sans" w:hAnsi="IBM Plex Sans" w:cstheme="minorHAnsi"/>
                <w:b/>
                <w:color w:val="55626A"/>
                <w:sz w:val="14"/>
                <w:szCs w:val="14"/>
              </w:rPr>
            </w:pPr>
            <w:r w:rsidRPr="00550AF2">
              <w:rPr>
                <w:rFonts w:ascii="IBM Plex Sans" w:hAnsi="IBM Plex Sans" w:cstheme="minorHAnsi"/>
                <w:b/>
                <w:color w:val="55626A"/>
                <w:sz w:val="14"/>
                <w:szCs w:val="14"/>
              </w:rPr>
              <w:t>(Examples:</w:t>
            </w:r>
            <w:r w:rsidR="00D95EA3" w:rsidRPr="00550AF2">
              <w:rPr>
                <w:rFonts w:ascii="IBM Plex Sans" w:hAnsi="IBM Plex Sans" w:cstheme="minorHAnsi"/>
                <w:b/>
                <w:color w:val="55626A"/>
                <w:sz w:val="14"/>
                <w:szCs w:val="14"/>
              </w:rPr>
              <w:t xml:space="preserve"> Telkom, Liquid, </w:t>
            </w:r>
            <w:r w:rsidR="00AC06E9" w:rsidRPr="00550AF2">
              <w:rPr>
                <w:rFonts w:ascii="IBM Plex Sans" w:hAnsi="IBM Plex Sans" w:cstheme="minorHAnsi"/>
                <w:b/>
                <w:color w:val="55626A"/>
                <w:sz w:val="14"/>
                <w:szCs w:val="14"/>
              </w:rPr>
              <w:t>etc.)</w:t>
            </w:r>
          </w:p>
        </w:tc>
        <w:tc>
          <w:tcPr>
            <w:tcW w:w="1701" w:type="dxa"/>
          </w:tcPr>
          <w:p w14:paraId="744052FC" w14:textId="278803AC" w:rsidR="00AC06E9" w:rsidRPr="00550AF2" w:rsidRDefault="00AC06E9" w:rsidP="00C205E9">
            <w:pPr>
              <w:rPr>
                <w:rFonts w:ascii="IBM Plex Sans" w:hAnsi="IBM Plex Sans" w:cstheme="minorHAnsi"/>
                <w:b/>
                <w:color w:val="55626A"/>
                <w:sz w:val="14"/>
                <w:szCs w:val="14"/>
              </w:rPr>
            </w:pPr>
            <w:r w:rsidRPr="00550AF2">
              <w:rPr>
                <w:rFonts w:ascii="IBM Plex Sans" w:hAnsi="IBM Plex Sans" w:cstheme="minorHAnsi"/>
                <w:b/>
                <w:color w:val="55626A"/>
                <w:sz w:val="14"/>
                <w:szCs w:val="14"/>
              </w:rPr>
              <w:t xml:space="preserve">Account Number at Current Network Operator </w:t>
            </w:r>
          </w:p>
        </w:tc>
        <w:tc>
          <w:tcPr>
            <w:tcW w:w="1559" w:type="dxa"/>
          </w:tcPr>
          <w:p w14:paraId="62BC87D4" w14:textId="77777777" w:rsidR="00AC06E9" w:rsidRPr="00550AF2" w:rsidRDefault="00AC06E9" w:rsidP="00C205E9">
            <w:pPr>
              <w:rPr>
                <w:rFonts w:ascii="IBM Plex Sans" w:hAnsi="IBM Plex Sans" w:cstheme="minorHAnsi"/>
                <w:b/>
                <w:color w:val="55626A"/>
                <w:sz w:val="14"/>
                <w:szCs w:val="14"/>
              </w:rPr>
            </w:pPr>
            <w:commentRangeStart w:id="3"/>
            <w:r w:rsidRPr="00D94C47">
              <w:rPr>
                <w:rFonts w:ascii="IBM Plex Sans" w:hAnsi="IBM Plex Sans" w:cstheme="minorHAnsi"/>
                <w:b/>
                <w:color w:val="55626A"/>
                <w:sz w:val="14"/>
                <w:szCs w:val="14"/>
              </w:rPr>
              <w:t>Site Address</w:t>
            </w:r>
            <w:commentRangeEnd w:id="3"/>
            <w:r w:rsidR="00926F4F">
              <w:rPr>
                <w:rStyle w:val="CommentReference"/>
              </w:rPr>
              <w:commentReference w:id="3"/>
            </w:r>
          </w:p>
        </w:tc>
      </w:tr>
      <w:tr w:rsidR="00145BAF" w:rsidRPr="00C205E9" w14:paraId="123E83A3" w14:textId="77777777" w:rsidTr="0044506E">
        <w:trPr>
          <w:trHeight w:val="340"/>
        </w:trPr>
        <w:tc>
          <w:tcPr>
            <w:tcW w:w="1276" w:type="dxa"/>
          </w:tcPr>
          <w:p w14:paraId="25AF920A" w14:textId="535B535D" w:rsidR="00AC06E9" w:rsidRPr="00F52304" w:rsidRDefault="00F52304" w:rsidP="00C205E9">
            <w:pPr>
              <w:rPr>
                <w:rFonts w:ascii="IBM Plex Sans" w:hAnsi="IBM Plex Sans" w:cstheme="minorHAnsi"/>
                <w:i/>
                <w:iCs/>
                <w:color w:val="55626A"/>
                <w:sz w:val="16"/>
                <w:szCs w:val="16"/>
              </w:rPr>
            </w:pPr>
            <w:r w:rsidRPr="00F52304">
              <w:rPr>
                <w:rFonts w:ascii="IBM Plex Sans" w:hAnsi="IBM Plex Sans" w:cstheme="minorHAnsi"/>
                <w:i/>
                <w:iCs/>
                <w:color w:val="BFBFBF" w:themeColor="background1" w:themeShade="BF"/>
                <w:sz w:val="16"/>
                <w:szCs w:val="16"/>
              </w:rPr>
              <w:t>27</w:t>
            </w:r>
            <w:r>
              <w:rPr>
                <w:rFonts w:ascii="IBM Plex Sans" w:hAnsi="IBM Plex Sans" w:cstheme="minorHAnsi"/>
                <w:i/>
                <w:iCs/>
                <w:color w:val="BFBFBF" w:themeColor="background1" w:themeShade="BF"/>
                <w:sz w:val="16"/>
                <w:szCs w:val="16"/>
              </w:rPr>
              <w:t>xxxxxx000</w:t>
            </w:r>
          </w:p>
        </w:tc>
        <w:tc>
          <w:tcPr>
            <w:tcW w:w="1276" w:type="dxa"/>
          </w:tcPr>
          <w:p w14:paraId="5B825DED" w14:textId="10DFFC42" w:rsidR="00AC06E9" w:rsidRPr="00C205E9" w:rsidRDefault="00F52304" w:rsidP="00C205E9">
            <w:pPr>
              <w:rPr>
                <w:rFonts w:ascii="IBM Plex Sans" w:hAnsi="IBM Plex Sans" w:cstheme="minorHAnsi"/>
                <w:color w:val="55626A"/>
                <w:sz w:val="16"/>
                <w:szCs w:val="16"/>
              </w:rPr>
            </w:pPr>
            <w:r w:rsidRPr="00F52304">
              <w:rPr>
                <w:rFonts w:ascii="IBM Plex Sans" w:hAnsi="IBM Plex Sans" w:cstheme="minorHAnsi"/>
                <w:i/>
                <w:iCs/>
                <w:color w:val="BFBFBF" w:themeColor="background1" w:themeShade="BF"/>
                <w:sz w:val="16"/>
                <w:szCs w:val="16"/>
              </w:rPr>
              <w:t>27</w:t>
            </w:r>
            <w:r>
              <w:rPr>
                <w:rFonts w:ascii="IBM Plex Sans" w:hAnsi="IBM Plex Sans" w:cstheme="minorHAnsi"/>
                <w:i/>
                <w:iCs/>
                <w:color w:val="BFBFBF" w:themeColor="background1" w:themeShade="BF"/>
                <w:sz w:val="16"/>
                <w:szCs w:val="16"/>
              </w:rPr>
              <w:t>xxxxxx010</w:t>
            </w:r>
          </w:p>
        </w:tc>
        <w:tc>
          <w:tcPr>
            <w:tcW w:w="1276" w:type="dxa"/>
          </w:tcPr>
          <w:p w14:paraId="335A3433" w14:textId="114BBCDD" w:rsidR="00AC06E9" w:rsidRPr="00C205E9" w:rsidRDefault="00F52304" w:rsidP="00C205E9">
            <w:pPr>
              <w:rPr>
                <w:rFonts w:ascii="IBM Plex Sans" w:hAnsi="IBM Plex Sans" w:cstheme="minorHAnsi"/>
                <w:color w:val="55626A"/>
                <w:sz w:val="16"/>
                <w:szCs w:val="16"/>
              </w:rPr>
            </w:pPr>
            <w:r w:rsidRPr="00F52304">
              <w:rPr>
                <w:rFonts w:ascii="IBM Plex Sans" w:hAnsi="IBM Plex Sans" w:cstheme="minorHAnsi"/>
                <w:i/>
                <w:iCs/>
                <w:color w:val="BFBFBF" w:themeColor="background1" w:themeShade="BF"/>
                <w:sz w:val="16"/>
                <w:szCs w:val="16"/>
              </w:rPr>
              <w:t>10 numbers</w:t>
            </w:r>
          </w:p>
        </w:tc>
        <w:tc>
          <w:tcPr>
            <w:tcW w:w="1275" w:type="dxa"/>
          </w:tcPr>
          <w:p w14:paraId="26915FF8" w14:textId="06196B4E" w:rsidR="00AC06E9" w:rsidRPr="00C205E9" w:rsidRDefault="00F52304" w:rsidP="00C205E9">
            <w:pPr>
              <w:rPr>
                <w:rFonts w:ascii="IBM Plex Sans" w:hAnsi="IBM Plex Sans" w:cstheme="minorHAnsi"/>
                <w:color w:val="55626A"/>
                <w:sz w:val="16"/>
                <w:szCs w:val="16"/>
              </w:rPr>
            </w:pPr>
            <w:r w:rsidRPr="00F52304">
              <w:rPr>
                <w:rFonts w:ascii="IBM Plex Sans" w:hAnsi="IBM Plex Sans" w:cstheme="minorHAnsi"/>
                <w:i/>
                <w:iCs/>
                <w:color w:val="BFBFBF" w:themeColor="background1" w:themeShade="BF"/>
                <w:sz w:val="16"/>
                <w:szCs w:val="16"/>
              </w:rPr>
              <w:t>Single</w:t>
            </w:r>
            <w:r w:rsidR="006C16A1">
              <w:rPr>
                <w:rFonts w:ascii="IBM Plex Sans" w:hAnsi="IBM Plex Sans" w:cstheme="minorHAnsi"/>
                <w:i/>
                <w:iCs/>
                <w:color w:val="BFBFBF" w:themeColor="background1" w:themeShade="BF"/>
                <w:sz w:val="16"/>
                <w:szCs w:val="16"/>
              </w:rPr>
              <w:t>/ Range</w:t>
            </w:r>
          </w:p>
        </w:tc>
        <w:tc>
          <w:tcPr>
            <w:tcW w:w="1843" w:type="dxa"/>
          </w:tcPr>
          <w:p w14:paraId="321B85F6" w14:textId="45C9019C" w:rsidR="00AC06E9" w:rsidRPr="00C205E9" w:rsidRDefault="00F52304" w:rsidP="00C205E9">
            <w:pPr>
              <w:rPr>
                <w:rFonts w:ascii="IBM Plex Sans" w:hAnsi="IBM Plex Sans" w:cstheme="minorHAnsi"/>
                <w:color w:val="55626A"/>
                <w:sz w:val="16"/>
                <w:szCs w:val="16"/>
              </w:rPr>
            </w:pPr>
            <w:r w:rsidRPr="00F52304">
              <w:rPr>
                <w:rFonts w:ascii="IBM Plex Sans" w:hAnsi="IBM Plex Sans" w:cstheme="minorHAnsi"/>
                <w:i/>
                <w:iCs/>
                <w:color w:val="BFBFBF" w:themeColor="background1" w:themeShade="BF"/>
                <w:sz w:val="16"/>
                <w:szCs w:val="16"/>
              </w:rPr>
              <w:t>Telkom</w:t>
            </w:r>
          </w:p>
        </w:tc>
        <w:tc>
          <w:tcPr>
            <w:tcW w:w="1701" w:type="dxa"/>
          </w:tcPr>
          <w:p w14:paraId="64EEF22D" w14:textId="4A755590" w:rsidR="00AC06E9" w:rsidRPr="00C205E9" w:rsidRDefault="00F52304" w:rsidP="00C205E9">
            <w:pPr>
              <w:rPr>
                <w:rFonts w:ascii="IBM Plex Sans" w:hAnsi="IBM Plex Sans" w:cstheme="minorHAnsi"/>
                <w:color w:val="55626A"/>
                <w:sz w:val="16"/>
                <w:szCs w:val="16"/>
              </w:rPr>
            </w:pPr>
            <w:r w:rsidRPr="00F52304">
              <w:rPr>
                <w:rFonts w:ascii="IBM Plex Sans" w:hAnsi="IBM Plex Sans" w:cstheme="minorHAnsi"/>
                <w:i/>
                <w:iCs/>
                <w:color w:val="BFBFBF" w:themeColor="background1" w:themeShade="BF"/>
                <w:sz w:val="16"/>
                <w:szCs w:val="16"/>
              </w:rPr>
              <w:t>TATA</w:t>
            </w:r>
          </w:p>
        </w:tc>
        <w:tc>
          <w:tcPr>
            <w:tcW w:w="1559" w:type="dxa"/>
          </w:tcPr>
          <w:p w14:paraId="3DCD90F3" w14:textId="3CF538A3" w:rsidR="00AC06E9" w:rsidRPr="00C205E9" w:rsidRDefault="00AC06E9" w:rsidP="00C205E9">
            <w:pPr>
              <w:rPr>
                <w:rFonts w:ascii="IBM Plex Sans" w:hAnsi="IBM Plex Sans" w:cstheme="minorHAnsi"/>
                <w:color w:val="55626A"/>
                <w:sz w:val="16"/>
                <w:szCs w:val="16"/>
              </w:rPr>
            </w:pPr>
          </w:p>
        </w:tc>
      </w:tr>
      <w:tr w:rsidR="00145BAF" w:rsidRPr="00C205E9" w14:paraId="7058AF9D" w14:textId="77777777" w:rsidTr="0044506E">
        <w:trPr>
          <w:trHeight w:val="340"/>
        </w:trPr>
        <w:tc>
          <w:tcPr>
            <w:tcW w:w="1276" w:type="dxa"/>
          </w:tcPr>
          <w:p w14:paraId="0A4860AE" w14:textId="77777777" w:rsidR="0029258D" w:rsidRPr="00C205E9" w:rsidRDefault="0029258D" w:rsidP="00C205E9">
            <w:pPr>
              <w:rPr>
                <w:rFonts w:ascii="IBM Plex Sans" w:hAnsi="IBM Plex Sans" w:cstheme="minorHAnsi"/>
                <w:color w:val="55626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B19741" w14:textId="77777777" w:rsidR="0029258D" w:rsidRPr="00C205E9" w:rsidRDefault="0029258D" w:rsidP="00C205E9">
            <w:pPr>
              <w:rPr>
                <w:rFonts w:ascii="IBM Plex Sans" w:hAnsi="IBM Plex Sans" w:cstheme="minorHAnsi"/>
                <w:color w:val="55626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045A40" w14:textId="77777777" w:rsidR="0029258D" w:rsidRPr="00C205E9" w:rsidRDefault="0029258D" w:rsidP="00C205E9">
            <w:pPr>
              <w:rPr>
                <w:rFonts w:ascii="IBM Plex Sans" w:hAnsi="IBM Plex Sans" w:cstheme="minorHAnsi"/>
                <w:color w:val="55626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7072796" w14:textId="77777777" w:rsidR="0029258D" w:rsidRPr="00C205E9" w:rsidRDefault="0029258D" w:rsidP="00C205E9">
            <w:pPr>
              <w:rPr>
                <w:rFonts w:ascii="IBM Plex Sans" w:hAnsi="IBM Plex Sans" w:cstheme="minorHAnsi"/>
                <w:color w:val="55626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8867345" w14:textId="77777777" w:rsidR="0029258D" w:rsidRPr="00C205E9" w:rsidRDefault="0029258D" w:rsidP="00C205E9">
            <w:pPr>
              <w:rPr>
                <w:rFonts w:ascii="IBM Plex Sans" w:hAnsi="IBM Plex Sans" w:cstheme="minorHAnsi"/>
                <w:color w:val="55626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900E660" w14:textId="77777777" w:rsidR="0029258D" w:rsidRPr="00C205E9" w:rsidRDefault="0029258D" w:rsidP="00C205E9">
            <w:pPr>
              <w:rPr>
                <w:rFonts w:ascii="IBM Plex Sans" w:hAnsi="IBM Plex Sans" w:cstheme="minorHAnsi"/>
                <w:color w:val="55626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92AF38" w14:textId="77777777" w:rsidR="0029258D" w:rsidRPr="00C205E9" w:rsidRDefault="0029258D" w:rsidP="00C205E9">
            <w:pPr>
              <w:rPr>
                <w:rFonts w:ascii="IBM Plex Sans" w:hAnsi="IBM Plex Sans" w:cstheme="minorHAnsi"/>
                <w:color w:val="55626A"/>
                <w:sz w:val="16"/>
                <w:szCs w:val="16"/>
              </w:rPr>
            </w:pPr>
          </w:p>
        </w:tc>
      </w:tr>
      <w:tr w:rsidR="00145BAF" w:rsidRPr="00C205E9" w14:paraId="15612381" w14:textId="77777777" w:rsidTr="0044506E">
        <w:trPr>
          <w:trHeight w:val="340"/>
        </w:trPr>
        <w:tc>
          <w:tcPr>
            <w:tcW w:w="1276" w:type="dxa"/>
          </w:tcPr>
          <w:p w14:paraId="4960307A" w14:textId="77777777" w:rsidR="0044506E" w:rsidRPr="00C205E9" w:rsidRDefault="0044506E" w:rsidP="00C205E9">
            <w:pPr>
              <w:rPr>
                <w:rFonts w:ascii="IBM Plex Sans" w:hAnsi="IBM Plex Sans" w:cstheme="minorHAnsi"/>
                <w:color w:val="55626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3094B6" w14:textId="77777777" w:rsidR="0044506E" w:rsidRPr="00C205E9" w:rsidRDefault="0044506E" w:rsidP="00C205E9">
            <w:pPr>
              <w:rPr>
                <w:rFonts w:ascii="IBM Plex Sans" w:hAnsi="IBM Plex Sans" w:cstheme="minorHAnsi"/>
                <w:color w:val="55626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C5BC2C" w14:textId="77777777" w:rsidR="0044506E" w:rsidRPr="00C205E9" w:rsidRDefault="0044506E" w:rsidP="00C205E9">
            <w:pPr>
              <w:rPr>
                <w:rFonts w:ascii="IBM Plex Sans" w:hAnsi="IBM Plex Sans" w:cstheme="minorHAnsi"/>
                <w:color w:val="55626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0D0A459" w14:textId="77777777" w:rsidR="0044506E" w:rsidRPr="00C205E9" w:rsidRDefault="0044506E" w:rsidP="00C205E9">
            <w:pPr>
              <w:rPr>
                <w:rFonts w:ascii="IBM Plex Sans" w:hAnsi="IBM Plex Sans" w:cstheme="minorHAnsi"/>
                <w:color w:val="55626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F3DC54B" w14:textId="77777777" w:rsidR="0044506E" w:rsidRPr="00C205E9" w:rsidRDefault="0044506E" w:rsidP="00C205E9">
            <w:pPr>
              <w:rPr>
                <w:rFonts w:ascii="IBM Plex Sans" w:hAnsi="IBM Plex Sans" w:cstheme="minorHAnsi"/>
                <w:color w:val="55626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FC6BBB8" w14:textId="77777777" w:rsidR="0044506E" w:rsidRPr="00C205E9" w:rsidRDefault="0044506E" w:rsidP="00C205E9">
            <w:pPr>
              <w:rPr>
                <w:rFonts w:ascii="IBM Plex Sans" w:hAnsi="IBM Plex Sans" w:cstheme="minorHAnsi"/>
                <w:color w:val="55626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1C43C8" w14:textId="77777777" w:rsidR="0044506E" w:rsidRPr="00C205E9" w:rsidRDefault="0044506E" w:rsidP="00C205E9">
            <w:pPr>
              <w:rPr>
                <w:rFonts w:ascii="IBM Plex Sans" w:hAnsi="IBM Plex Sans" w:cstheme="minorHAnsi"/>
                <w:color w:val="55626A"/>
                <w:sz w:val="16"/>
                <w:szCs w:val="16"/>
              </w:rPr>
            </w:pPr>
          </w:p>
        </w:tc>
      </w:tr>
    </w:tbl>
    <w:p w14:paraId="436995A2" w14:textId="0B0F1105" w:rsidR="00766034" w:rsidRDefault="00766034" w:rsidP="00C205E9">
      <w:pPr>
        <w:rPr>
          <w:rFonts w:ascii="IBM Plex Sans" w:hAnsi="IBM Plex Sans" w:cstheme="minorHAnsi"/>
          <w:color w:val="55626A"/>
          <w:sz w:val="16"/>
          <w:szCs w:val="1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6658"/>
        <w:gridCol w:w="1984"/>
        <w:gridCol w:w="1701"/>
      </w:tblGrid>
      <w:tr w:rsidR="0065024F" w:rsidRPr="0065024F" w14:paraId="7EDC749A" w14:textId="77777777" w:rsidTr="00ED6652">
        <w:tc>
          <w:tcPr>
            <w:tcW w:w="6658" w:type="dxa"/>
          </w:tcPr>
          <w:p w14:paraId="693AC843" w14:textId="341E3CDB" w:rsidR="0065024F" w:rsidRPr="0065024F" w:rsidRDefault="0065024F" w:rsidP="00ED6652">
            <w:pPr>
              <w:spacing w:line="276" w:lineRule="auto"/>
              <w:rPr>
                <w:rFonts w:ascii="IBM Plex Sans" w:hAnsi="IBM Plex Sans" w:cstheme="minorHAnsi"/>
                <w:sz w:val="16"/>
                <w:szCs w:val="16"/>
              </w:rPr>
            </w:pPr>
            <w:commentRangeStart w:id="4"/>
            <w:r w:rsidRPr="0065024F">
              <w:rPr>
                <w:rFonts w:ascii="IBM Plex Sans" w:hAnsi="IBM Plex Sans" w:cstheme="minorHAnsi"/>
                <w:sz w:val="16"/>
                <w:szCs w:val="16"/>
              </w:rPr>
              <w:t>Are any of the above numbers going to be provisioned on Operator Connect?</w:t>
            </w:r>
            <w:commentRangeEnd w:id="4"/>
            <w:r w:rsidRPr="0065024F">
              <w:rPr>
                <w:rStyle w:val="CommentReference"/>
                <w:rFonts w:ascii="IBM Plex Sans" w:hAnsi="IBM Plex Sans"/>
              </w:rPr>
              <w:commentReference w:id="4"/>
            </w:r>
            <w:r w:rsidRPr="0065024F">
              <w:rPr>
                <w:rFonts w:ascii="IBM Plex Sans" w:hAnsi="IBM Plex Sans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0F21B432" w14:textId="77777777" w:rsidR="0065024F" w:rsidRPr="0065024F" w:rsidRDefault="0065024F" w:rsidP="00ED6652">
            <w:pPr>
              <w:spacing w:line="276" w:lineRule="auto"/>
              <w:rPr>
                <w:rFonts w:ascii="IBM Plex Sans" w:hAnsi="IBM Plex Sans" w:cstheme="minorHAnsi"/>
                <w:sz w:val="16"/>
                <w:szCs w:val="16"/>
              </w:rPr>
            </w:pPr>
            <w:r w:rsidRPr="0065024F">
              <w:rPr>
                <w:rFonts w:ascii="IBM Plex Sans" w:hAnsi="IBM Plex Sans"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1701" w:type="dxa"/>
          </w:tcPr>
          <w:p w14:paraId="1B0A8D53" w14:textId="77777777" w:rsidR="0065024F" w:rsidRPr="0065024F" w:rsidRDefault="0065024F" w:rsidP="00ED6652">
            <w:pPr>
              <w:spacing w:line="276" w:lineRule="auto"/>
              <w:rPr>
                <w:rFonts w:ascii="IBM Plex Sans" w:hAnsi="IBM Plex Sans" w:cstheme="minorHAnsi"/>
                <w:sz w:val="16"/>
                <w:szCs w:val="16"/>
              </w:rPr>
            </w:pPr>
            <w:r w:rsidRPr="0065024F">
              <w:rPr>
                <w:rFonts w:ascii="IBM Plex Sans" w:hAnsi="IBM Plex Sans" w:cstheme="minorHAnsi"/>
                <w:sz w:val="16"/>
                <w:szCs w:val="16"/>
              </w:rPr>
              <w:t>No</w:t>
            </w:r>
          </w:p>
        </w:tc>
      </w:tr>
    </w:tbl>
    <w:p w14:paraId="5C0C919B" w14:textId="3C564B95" w:rsidR="0065024F" w:rsidRDefault="0065024F" w:rsidP="00C205E9">
      <w:pPr>
        <w:rPr>
          <w:rFonts w:ascii="IBM Plex Sans" w:hAnsi="IBM Plex Sans" w:cstheme="minorHAnsi"/>
          <w:color w:val="55626A"/>
          <w:sz w:val="16"/>
          <w:szCs w:val="16"/>
        </w:rPr>
      </w:pPr>
    </w:p>
    <w:p w14:paraId="559E6A1F" w14:textId="77777777" w:rsidR="009F71EF" w:rsidRPr="00C205E9" w:rsidRDefault="009F71EF" w:rsidP="00C205E9">
      <w:pPr>
        <w:rPr>
          <w:rFonts w:ascii="IBM Plex Sans" w:hAnsi="IBM Plex Sans" w:cstheme="minorHAnsi"/>
          <w:color w:val="55626A"/>
          <w:sz w:val="16"/>
          <w:szCs w:val="16"/>
        </w:rPr>
      </w:pPr>
    </w:p>
    <w:p w14:paraId="13C3220A" w14:textId="6C160F9B" w:rsidR="00AC06E9" w:rsidRPr="00C205E9" w:rsidRDefault="0029519A" w:rsidP="00C205E9">
      <w:pPr>
        <w:rPr>
          <w:rFonts w:ascii="IBM Plex Sans" w:hAnsi="IBM Plex Sans" w:cstheme="minorHAnsi"/>
          <w:color w:val="55626A"/>
          <w:sz w:val="16"/>
          <w:szCs w:val="16"/>
        </w:rPr>
      </w:pPr>
      <w:commentRangeStart w:id="5"/>
      <w:r w:rsidRPr="00302293">
        <w:rPr>
          <w:rFonts w:ascii="IBM Plex Sans" w:hAnsi="IBM Plex Sans" w:cstheme="minorHAnsi"/>
          <w:color w:val="55626A"/>
          <w:sz w:val="16"/>
          <w:szCs w:val="16"/>
          <w:highlight w:val="yellow"/>
        </w:rPr>
        <w:t>Preferred date for porting</w:t>
      </w:r>
      <w:commentRangeEnd w:id="5"/>
      <w:r w:rsidR="00302293">
        <w:rPr>
          <w:rStyle w:val="CommentReference"/>
        </w:rPr>
        <w:commentReference w:id="5"/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t xml:space="preserve">:    </w:t>
      </w:r>
      <w:r w:rsidR="00AC06E9" w:rsidRPr="006C16A1">
        <w:rPr>
          <w:rFonts w:ascii="IBM Plex Sans" w:hAnsi="IBM Plex Sans" w:cstheme="minorHAnsi"/>
          <w:i/>
          <w:iCs/>
          <w:color w:val="BFBFBF" w:themeColor="background1" w:themeShade="BF"/>
          <w:sz w:val="16"/>
          <w:szCs w:val="16"/>
        </w:rPr>
        <w:t>DD/MM/YYYY</w:t>
      </w:r>
      <w:r w:rsidR="00D95EA3" w:rsidRPr="00C205E9">
        <w:rPr>
          <w:rFonts w:ascii="IBM Plex Sans" w:hAnsi="IBM Plex Sans" w:cstheme="minorHAnsi"/>
          <w:color w:val="55626A"/>
          <w:sz w:val="16"/>
          <w:szCs w:val="16"/>
        </w:rPr>
        <w:br/>
      </w:r>
      <w:commentRangeStart w:id="6"/>
      <w:r w:rsidR="00D95EA3" w:rsidRPr="004D4800">
        <w:rPr>
          <w:rFonts w:ascii="IBM Plex Sans" w:hAnsi="IBM Plex Sans" w:cstheme="minorHAnsi"/>
          <w:color w:val="55626A"/>
          <w:sz w:val="16"/>
          <w:szCs w:val="16"/>
          <w:highlight w:val="yellow"/>
        </w:rPr>
        <w:t>Company Registration No</w:t>
      </w:r>
      <w:r w:rsidR="00D95EA3" w:rsidRPr="00C205E9">
        <w:rPr>
          <w:rFonts w:ascii="IBM Plex Sans" w:hAnsi="IBM Plex Sans" w:cstheme="minorHAnsi"/>
          <w:color w:val="55626A"/>
          <w:sz w:val="16"/>
          <w:szCs w:val="16"/>
        </w:rPr>
        <w:t xml:space="preserve">:    </w:t>
      </w:r>
      <w:r w:rsidR="00AC06E9" w:rsidRPr="00C205E9">
        <w:rPr>
          <w:rFonts w:ascii="IBM Plex Sans" w:hAnsi="IBM Plex Sans" w:cstheme="minorHAnsi"/>
          <w:color w:val="55626A"/>
          <w:sz w:val="16"/>
          <w:szCs w:val="16"/>
        </w:rPr>
        <w:t xml:space="preserve"> </w:t>
      </w:r>
      <w:commentRangeEnd w:id="6"/>
      <w:r w:rsidR="00926F4F">
        <w:rPr>
          <w:rStyle w:val="CommentReference"/>
        </w:rPr>
        <w:commentReference w:id="6"/>
      </w:r>
      <w:proofErr w:type="spellStart"/>
      <w:r w:rsidR="00AC06E9" w:rsidRPr="006C16A1">
        <w:rPr>
          <w:rFonts w:ascii="IBM Plex Sans" w:hAnsi="IBM Plex Sans" w:cstheme="minorHAnsi"/>
          <w:i/>
          <w:iCs/>
          <w:color w:val="BFBFBF" w:themeColor="background1" w:themeShade="BF"/>
          <w:sz w:val="16"/>
          <w:szCs w:val="16"/>
        </w:rPr>
        <w:t>xxxx</w:t>
      </w:r>
      <w:proofErr w:type="spellEnd"/>
      <w:r w:rsidR="00AC06E9" w:rsidRPr="006C16A1">
        <w:rPr>
          <w:rFonts w:ascii="IBM Plex Sans" w:hAnsi="IBM Plex Sans" w:cstheme="minorHAnsi"/>
          <w:i/>
          <w:iCs/>
          <w:color w:val="BFBFBF" w:themeColor="background1" w:themeShade="BF"/>
          <w:sz w:val="16"/>
          <w:szCs w:val="16"/>
        </w:rPr>
        <w:t>/</w:t>
      </w:r>
      <w:proofErr w:type="spellStart"/>
      <w:r w:rsidR="00AC06E9" w:rsidRPr="006C16A1">
        <w:rPr>
          <w:rFonts w:ascii="IBM Plex Sans" w:hAnsi="IBM Plex Sans" w:cstheme="minorHAnsi"/>
          <w:i/>
          <w:iCs/>
          <w:color w:val="BFBFBF" w:themeColor="background1" w:themeShade="BF"/>
          <w:sz w:val="16"/>
          <w:szCs w:val="16"/>
        </w:rPr>
        <w:t>xxxxxx</w:t>
      </w:r>
      <w:proofErr w:type="spellEnd"/>
      <w:r w:rsidR="00AC06E9" w:rsidRPr="006C16A1">
        <w:rPr>
          <w:rFonts w:ascii="IBM Plex Sans" w:hAnsi="IBM Plex Sans" w:cstheme="minorHAnsi"/>
          <w:i/>
          <w:iCs/>
          <w:color w:val="BFBFBF" w:themeColor="background1" w:themeShade="BF"/>
          <w:sz w:val="16"/>
          <w:szCs w:val="16"/>
        </w:rPr>
        <w:t>/xx</w:t>
      </w:r>
    </w:p>
    <w:p w14:paraId="3FFD8936" w14:textId="587AE3F6" w:rsidR="00AC06E9" w:rsidRPr="00C205E9" w:rsidRDefault="00AC06E9" w:rsidP="00C205E9">
      <w:pPr>
        <w:rPr>
          <w:rFonts w:ascii="IBM Plex Sans" w:hAnsi="IBM Plex Sans" w:cstheme="minorHAnsi"/>
          <w:color w:val="55626A"/>
          <w:sz w:val="16"/>
          <w:szCs w:val="16"/>
        </w:rPr>
      </w:pPr>
      <w:r w:rsidRPr="00C205E9">
        <w:rPr>
          <w:rFonts w:ascii="IBM Plex Sans" w:hAnsi="IBM Plex Sans" w:cstheme="minorHAnsi"/>
          <w:color w:val="55626A"/>
          <w:sz w:val="16"/>
          <w:szCs w:val="16"/>
        </w:rPr>
        <w:t>Caller l</w:t>
      </w:r>
      <w:r w:rsidR="0022288D" w:rsidRPr="00C205E9">
        <w:rPr>
          <w:rFonts w:ascii="IBM Plex Sans" w:hAnsi="IBM Plex Sans" w:cstheme="minorHAnsi"/>
          <w:color w:val="55626A"/>
          <w:sz w:val="16"/>
          <w:szCs w:val="16"/>
        </w:rPr>
        <w:t>ine I</w:t>
      </w:r>
      <w:r w:rsidR="00D95EA3" w:rsidRPr="00C205E9">
        <w:rPr>
          <w:rFonts w:ascii="IBM Plex Sans" w:hAnsi="IBM Plex Sans" w:cstheme="minorHAnsi"/>
          <w:color w:val="55626A"/>
          <w:sz w:val="16"/>
          <w:szCs w:val="16"/>
        </w:rPr>
        <w:t xml:space="preserve">dentity to be displayed: </w:t>
      </w:r>
    </w:p>
    <w:p w14:paraId="47E0241F" w14:textId="77777777" w:rsidR="0029258D" w:rsidRPr="00C205E9" w:rsidRDefault="0029258D" w:rsidP="00C205E9">
      <w:pPr>
        <w:rPr>
          <w:rFonts w:ascii="IBM Plex Sans" w:hAnsi="IBM Plex Sans" w:cstheme="minorHAnsi"/>
          <w:color w:val="55626A"/>
          <w:sz w:val="16"/>
          <w:szCs w:val="16"/>
        </w:rPr>
      </w:pPr>
    </w:p>
    <w:p w14:paraId="313844FF" w14:textId="1220260A" w:rsidR="00EC1F5E" w:rsidRPr="00C205E9" w:rsidRDefault="00EC1F5E" w:rsidP="00C205E9">
      <w:pPr>
        <w:rPr>
          <w:rFonts w:ascii="IBM Plex Sans" w:hAnsi="IBM Plex Sans" w:cstheme="minorHAnsi"/>
          <w:color w:val="55626A"/>
          <w:sz w:val="16"/>
          <w:szCs w:val="16"/>
        </w:rPr>
      </w:pPr>
      <w:bookmarkStart w:id="7" w:name="_Hlk507481628"/>
      <w:r w:rsidRPr="00C205E9">
        <w:rPr>
          <w:rFonts w:ascii="IBM Plex Sans" w:hAnsi="IBM Plex Sans" w:cstheme="minorHAnsi"/>
          <w:color w:val="55626A"/>
          <w:sz w:val="16"/>
          <w:szCs w:val="16"/>
        </w:rPr>
        <w:t>I confirm that (</w:t>
      </w:r>
      <w:r w:rsidRPr="00302293">
        <w:rPr>
          <w:rFonts w:ascii="IBM Plex Sans" w:hAnsi="IBM Plex Sans" w:cstheme="minorHAnsi"/>
          <w:color w:val="55626A"/>
          <w:sz w:val="16"/>
          <w:szCs w:val="16"/>
          <w:highlight w:val="yellow"/>
        </w:rPr>
        <w:t xml:space="preserve">Customer </w:t>
      </w:r>
      <w:r w:rsidR="0022288D" w:rsidRPr="00302293">
        <w:rPr>
          <w:rFonts w:ascii="IBM Plex Sans" w:hAnsi="IBM Plex Sans" w:cstheme="minorHAnsi"/>
          <w:color w:val="55626A"/>
          <w:sz w:val="16"/>
          <w:szCs w:val="16"/>
          <w:highlight w:val="yellow"/>
        </w:rPr>
        <w:t xml:space="preserve">/ </w:t>
      </w:r>
      <w:r w:rsidRPr="00302293">
        <w:rPr>
          <w:rFonts w:ascii="IBM Plex Sans" w:hAnsi="IBM Plex Sans" w:cstheme="minorHAnsi"/>
          <w:color w:val="55626A"/>
          <w:sz w:val="16"/>
          <w:szCs w:val="16"/>
          <w:highlight w:val="yellow"/>
        </w:rPr>
        <w:t>Company Name</w:t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t>)</w:t>
      </w:r>
      <w:r w:rsidR="00302293">
        <w:rPr>
          <w:rFonts w:ascii="IBM Plex Sans" w:hAnsi="IBM Plex Sans" w:cstheme="minorHAnsi"/>
          <w:color w:val="55626A"/>
          <w:sz w:val="16"/>
          <w:szCs w:val="16"/>
        </w:rPr>
        <w:t xml:space="preserve"> ______________</w:t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t xml:space="preserve"> </w:t>
      </w:r>
      <w:r w:rsidR="002F7574" w:rsidRPr="00C205E9">
        <w:rPr>
          <w:rFonts w:ascii="IBM Plex Sans" w:hAnsi="IBM Plex Sans" w:cstheme="minorHAnsi"/>
          <w:color w:val="55626A"/>
          <w:sz w:val="16"/>
          <w:szCs w:val="16"/>
        </w:rPr>
        <w:t>is</w:t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t xml:space="preserve"> responsible for notifying our current Network Operator of our intention to port existing number/s to Vox Telecom.  </w:t>
      </w:r>
    </w:p>
    <w:p w14:paraId="52B3A9E3" w14:textId="270C5B6C" w:rsidR="008F32DB" w:rsidRPr="00C205E9" w:rsidRDefault="008F32DB" w:rsidP="00C205E9">
      <w:pPr>
        <w:rPr>
          <w:rFonts w:ascii="IBM Plex Sans" w:hAnsi="IBM Plex Sans" w:cstheme="minorHAnsi"/>
          <w:color w:val="55626A"/>
          <w:sz w:val="16"/>
          <w:szCs w:val="16"/>
        </w:rPr>
      </w:pPr>
      <w:r w:rsidRPr="00C205E9">
        <w:rPr>
          <w:rFonts w:ascii="IBM Plex Sans" w:hAnsi="IBM Plex Sans" w:cstheme="minorHAnsi"/>
          <w:color w:val="55626A"/>
          <w:sz w:val="16"/>
          <w:szCs w:val="16"/>
        </w:rPr>
        <w:t>I acknowledge that Value-Added Services (</w:t>
      </w:r>
      <w:r w:rsidR="002F7574" w:rsidRPr="00C205E9">
        <w:rPr>
          <w:rFonts w:ascii="IBM Plex Sans" w:hAnsi="IBM Plex Sans" w:cstheme="minorHAnsi"/>
          <w:color w:val="55626A"/>
          <w:sz w:val="16"/>
          <w:szCs w:val="16"/>
        </w:rPr>
        <w:t>such as</w:t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t xml:space="preserve"> ADSL data, Call Barring, Call Forward</w:t>
      </w:r>
      <w:r w:rsidR="0022288D" w:rsidRPr="00C205E9">
        <w:rPr>
          <w:rFonts w:ascii="IBM Plex Sans" w:hAnsi="IBM Plex Sans" w:cstheme="minorHAnsi"/>
          <w:color w:val="55626A"/>
          <w:sz w:val="16"/>
          <w:szCs w:val="16"/>
        </w:rPr>
        <w:t>ing</w:t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t xml:space="preserve">, Hunting Facilities, </w:t>
      </w:r>
      <w:r w:rsidR="00E83485" w:rsidRPr="00C205E9">
        <w:rPr>
          <w:rFonts w:ascii="IBM Plex Sans" w:hAnsi="IBM Plex Sans" w:cstheme="minorHAnsi"/>
          <w:color w:val="55626A"/>
          <w:sz w:val="16"/>
          <w:szCs w:val="16"/>
        </w:rPr>
        <w:t xml:space="preserve">Supreme Call, </w:t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t xml:space="preserve">etc.) cannot be ported and functionality will be lost once porting has taken place. </w:t>
      </w:r>
    </w:p>
    <w:p w14:paraId="7EFCBE1D" w14:textId="14DE9F0B" w:rsidR="0022288D" w:rsidRPr="00C205E9" w:rsidRDefault="002F7574" w:rsidP="00C205E9">
      <w:pPr>
        <w:rPr>
          <w:rFonts w:ascii="IBM Plex Sans" w:hAnsi="IBM Plex Sans" w:cstheme="minorHAnsi"/>
          <w:color w:val="55626A"/>
          <w:sz w:val="16"/>
          <w:szCs w:val="16"/>
        </w:rPr>
      </w:pPr>
      <w:r w:rsidRPr="00C205E9">
        <w:rPr>
          <w:rFonts w:ascii="IBM Plex Sans" w:hAnsi="IBM Plex Sans" w:cstheme="minorHAnsi"/>
          <w:color w:val="55626A"/>
          <w:sz w:val="16"/>
          <w:szCs w:val="16"/>
        </w:rPr>
        <w:t>I further acknowledge that t</w:t>
      </w:r>
      <w:r w:rsidR="00AC06E9" w:rsidRPr="00C205E9">
        <w:rPr>
          <w:rFonts w:ascii="IBM Plex Sans" w:hAnsi="IBM Plex Sans" w:cstheme="minorHAnsi"/>
          <w:color w:val="55626A"/>
          <w:sz w:val="16"/>
          <w:szCs w:val="16"/>
        </w:rPr>
        <w:t>he number porting process does not result in automatic cancellation of any services with our current Network Operator.</w:t>
      </w:r>
      <w:r w:rsidR="003C61CF" w:rsidRPr="00C205E9">
        <w:rPr>
          <w:rFonts w:ascii="IBM Plex Sans" w:hAnsi="IBM Plex Sans" w:cstheme="minorHAnsi"/>
          <w:color w:val="55626A"/>
          <w:sz w:val="16"/>
          <w:szCs w:val="16"/>
        </w:rPr>
        <w:t xml:space="preserve"> It is </w:t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t>(</w:t>
      </w:r>
      <w:r w:rsidRPr="00302293">
        <w:rPr>
          <w:rFonts w:ascii="IBM Plex Sans" w:hAnsi="IBM Plex Sans" w:cstheme="minorHAnsi"/>
          <w:color w:val="55626A"/>
          <w:sz w:val="16"/>
          <w:szCs w:val="16"/>
          <w:highlight w:val="yellow"/>
        </w:rPr>
        <w:t>Customer / Company Name</w:t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t>)</w:t>
      </w:r>
      <w:r w:rsidR="00302293">
        <w:rPr>
          <w:rFonts w:ascii="IBM Plex Sans" w:hAnsi="IBM Plex Sans" w:cstheme="minorHAnsi"/>
          <w:color w:val="55626A"/>
          <w:sz w:val="16"/>
          <w:szCs w:val="16"/>
        </w:rPr>
        <w:t xml:space="preserve"> _______________</w:t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t xml:space="preserve"> </w:t>
      </w:r>
      <w:r w:rsidR="003C61CF" w:rsidRPr="00C205E9">
        <w:rPr>
          <w:rFonts w:ascii="IBM Plex Sans" w:hAnsi="IBM Plex Sans" w:cstheme="minorHAnsi"/>
          <w:color w:val="55626A"/>
          <w:sz w:val="16"/>
          <w:szCs w:val="16"/>
        </w:rPr>
        <w:t xml:space="preserve">responsibility to cancel services with </w:t>
      </w:r>
      <w:r w:rsidR="004B5BE3" w:rsidRPr="00C205E9">
        <w:rPr>
          <w:rFonts w:ascii="IBM Plex Sans" w:hAnsi="IBM Plex Sans" w:cstheme="minorHAnsi"/>
          <w:color w:val="55626A"/>
          <w:sz w:val="16"/>
          <w:szCs w:val="16"/>
        </w:rPr>
        <w:t xml:space="preserve">the </w:t>
      </w:r>
      <w:r w:rsidR="003C61CF" w:rsidRPr="00C205E9">
        <w:rPr>
          <w:rFonts w:ascii="IBM Plex Sans" w:hAnsi="IBM Plex Sans" w:cstheme="minorHAnsi"/>
          <w:color w:val="55626A"/>
          <w:sz w:val="16"/>
          <w:szCs w:val="16"/>
        </w:rPr>
        <w:t>current operator</w:t>
      </w:r>
      <w:r w:rsidR="004B5BE3" w:rsidRPr="00C205E9">
        <w:rPr>
          <w:rFonts w:ascii="IBM Plex Sans" w:hAnsi="IBM Plex Sans" w:cstheme="minorHAnsi"/>
          <w:color w:val="55626A"/>
          <w:sz w:val="16"/>
          <w:szCs w:val="16"/>
        </w:rPr>
        <w:t xml:space="preserve"> and manage </w:t>
      </w:r>
      <w:r w:rsidR="00B67EEA" w:rsidRPr="00C205E9">
        <w:rPr>
          <w:rFonts w:ascii="IBM Plex Sans" w:hAnsi="IBM Plex Sans" w:cstheme="minorHAnsi"/>
          <w:color w:val="55626A"/>
          <w:sz w:val="16"/>
          <w:szCs w:val="16"/>
        </w:rPr>
        <w:t xml:space="preserve">any queries that may arise. </w:t>
      </w:r>
    </w:p>
    <w:p w14:paraId="1C4B939A" w14:textId="77777777" w:rsidR="0022288D" w:rsidRPr="00C205E9" w:rsidRDefault="0022288D" w:rsidP="00C205E9">
      <w:pPr>
        <w:rPr>
          <w:rFonts w:ascii="IBM Plex Sans" w:hAnsi="IBM Plex Sans" w:cstheme="minorHAnsi"/>
          <w:bCs/>
          <w:i/>
          <w:iCs/>
          <w:sz w:val="14"/>
          <w:szCs w:val="14"/>
        </w:rPr>
      </w:pPr>
    </w:p>
    <w:p w14:paraId="082037DB" w14:textId="26250A4A" w:rsidR="0022288D" w:rsidRPr="00C205E9" w:rsidRDefault="003D1A09" w:rsidP="00C205E9">
      <w:pPr>
        <w:rPr>
          <w:rFonts w:ascii="IBM Plex Sans" w:hAnsi="IBM Plex Sans" w:cstheme="minorHAnsi"/>
          <w:bCs/>
          <w:i/>
          <w:iCs/>
          <w:color w:val="FF0000"/>
          <w:sz w:val="14"/>
          <w:szCs w:val="14"/>
        </w:rPr>
      </w:pPr>
      <w:r w:rsidRPr="00C205E9">
        <w:rPr>
          <w:rFonts w:ascii="IBM Plex Sans" w:hAnsi="IBM Plex Sans" w:cstheme="minorHAnsi"/>
          <w:bCs/>
          <w:i/>
          <w:iCs/>
          <w:color w:val="FF0000"/>
          <w:sz w:val="14"/>
          <w:szCs w:val="14"/>
        </w:rPr>
        <w:t>Please note</w:t>
      </w:r>
      <w:r w:rsidR="0022288D" w:rsidRPr="00C205E9">
        <w:rPr>
          <w:rFonts w:ascii="IBM Plex Sans" w:hAnsi="IBM Plex Sans" w:cstheme="minorHAnsi"/>
          <w:bCs/>
          <w:i/>
          <w:iCs/>
          <w:color w:val="FF0000"/>
          <w:sz w:val="14"/>
          <w:szCs w:val="14"/>
        </w:rPr>
        <w:t xml:space="preserve">: </w:t>
      </w:r>
    </w:p>
    <w:bookmarkEnd w:id="7"/>
    <w:p w14:paraId="37BAF692" w14:textId="57DEADA0" w:rsidR="00EF5390" w:rsidRPr="00C205E9" w:rsidRDefault="00EF5390" w:rsidP="00C205E9">
      <w:pPr>
        <w:pStyle w:val="ListParagraph"/>
        <w:numPr>
          <w:ilvl w:val="0"/>
          <w:numId w:val="12"/>
        </w:numPr>
        <w:spacing w:line="240" w:lineRule="auto"/>
        <w:rPr>
          <w:rFonts w:ascii="IBM Plex Sans" w:eastAsia="Times New Roman" w:hAnsi="IBM Plex Sans" w:cstheme="minorHAnsi"/>
          <w:bCs/>
          <w:i/>
          <w:iCs/>
          <w:color w:val="FF0000"/>
          <w:sz w:val="14"/>
          <w:szCs w:val="14"/>
          <w:lang w:val="en-GB"/>
        </w:rPr>
      </w:pPr>
      <w:r w:rsidRPr="00C205E9">
        <w:rPr>
          <w:rFonts w:ascii="IBM Plex Sans" w:eastAsia="Times New Roman" w:hAnsi="IBM Plex Sans" w:cstheme="minorHAnsi"/>
          <w:bCs/>
          <w:i/>
          <w:iCs/>
          <w:color w:val="FF0000"/>
          <w:sz w:val="14"/>
          <w:szCs w:val="14"/>
          <w:lang w:val="en-GB"/>
        </w:rPr>
        <w:t>If only one number or a partial range of numbers wi</w:t>
      </w:r>
      <w:r w:rsidR="00161BE5" w:rsidRPr="00C205E9">
        <w:rPr>
          <w:rFonts w:ascii="IBM Plex Sans" w:eastAsia="Times New Roman" w:hAnsi="IBM Plex Sans" w:cstheme="minorHAnsi"/>
          <w:bCs/>
          <w:i/>
          <w:iCs/>
          <w:color w:val="FF0000"/>
          <w:sz w:val="14"/>
          <w:szCs w:val="14"/>
          <w:lang w:val="en-GB"/>
        </w:rPr>
        <w:t xml:space="preserve">thin a </w:t>
      </w:r>
      <w:r w:rsidR="00B67EEA" w:rsidRPr="00C205E9">
        <w:rPr>
          <w:rFonts w:ascii="IBM Plex Sans" w:eastAsia="Times New Roman" w:hAnsi="IBM Plex Sans" w:cstheme="minorHAnsi"/>
          <w:bCs/>
          <w:i/>
          <w:iCs/>
          <w:color w:val="FF0000"/>
          <w:sz w:val="14"/>
          <w:szCs w:val="14"/>
          <w:lang w:val="en-GB"/>
        </w:rPr>
        <w:t xml:space="preserve">number </w:t>
      </w:r>
      <w:r w:rsidR="00161BE5" w:rsidRPr="00C205E9">
        <w:rPr>
          <w:rFonts w:ascii="IBM Plex Sans" w:eastAsia="Times New Roman" w:hAnsi="IBM Plex Sans" w:cstheme="minorHAnsi"/>
          <w:bCs/>
          <w:i/>
          <w:iCs/>
          <w:color w:val="FF0000"/>
          <w:sz w:val="14"/>
          <w:szCs w:val="14"/>
          <w:lang w:val="en-GB"/>
        </w:rPr>
        <w:t>block are ported, the</w:t>
      </w:r>
      <w:r w:rsidR="00B67EEA" w:rsidRPr="00C205E9">
        <w:rPr>
          <w:rFonts w:ascii="IBM Plex Sans" w:eastAsia="Times New Roman" w:hAnsi="IBM Plex Sans" w:cstheme="minorHAnsi"/>
          <w:bCs/>
          <w:i/>
          <w:iCs/>
          <w:color w:val="FF0000"/>
          <w:sz w:val="14"/>
          <w:szCs w:val="14"/>
          <w:lang w:val="en-GB"/>
        </w:rPr>
        <w:t xml:space="preserve"> remaining </w:t>
      </w:r>
      <w:r w:rsidRPr="00C205E9">
        <w:rPr>
          <w:rFonts w:ascii="IBM Plex Sans" w:eastAsia="Times New Roman" w:hAnsi="IBM Plex Sans" w:cstheme="minorHAnsi"/>
          <w:bCs/>
          <w:i/>
          <w:iCs/>
          <w:color w:val="FF0000"/>
          <w:sz w:val="14"/>
          <w:szCs w:val="14"/>
          <w:lang w:val="en-GB"/>
        </w:rPr>
        <w:t>numbers within that specific block will b</w:t>
      </w:r>
      <w:r w:rsidR="00B67EEA" w:rsidRPr="00C205E9">
        <w:rPr>
          <w:rFonts w:ascii="IBM Plex Sans" w:eastAsia="Times New Roman" w:hAnsi="IBM Plex Sans" w:cstheme="minorHAnsi"/>
          <w:bCs/>
          <w:i/>
          <w:iCs/>
          <w:color w:val="FF0000"/>
          <w:sz w:val="14"/>
          <w:szCs w:val="14"/>
          <w:lang w:val="en-GB"/>
        </w:rPr>
        <w:t xml:space="preserve">e discontinued by the current supplier. </w:t>
      </w:r>
    </w:p>
    <w:p w14:paraId="133ADE28" w14:textId="5C649973" w:rsidR="00B67EEA" w:rsidRPr="00C205E9" w:rsidRDefault="00743FC7" w:rsidP="00C205E9">
      <w:pPr>
        <w:pStyle w:val="ListParagraph"/>
        <w:numPr>
          <w:ilvl w:val="0"/>
          <w:numId w:val="12"/>
        </w:numPr>
        <w:spacing w:line="240" w:lineRule="auto"/>
        <w:rPr>
          <w:rFonts w:ascii="IBM Plex Sans" w:hAnsi="IBM Plex Sans" w:cstheme="minorHAnsi"/>
          <w:bCs/>
          <w:i/>
          <w:iCs/>
          <w:color w:val="FF0000"/>
          <w:sz w:val="14"/>
          <w:szCs w:val="14"/>
        </w:rPr>
      </w:pPr>
      <w:r w:rsidRPr="00C205E9">
        <w:rPr>
          <w:rFonts w:ascii="IBM Plex Sans" w:eastAsia="Times New Roman" w:hAnsi="IBM Plex Sans" w:cstheme="minorHAnsi"/>
          <w:bCs/>
          <w:i/>
          <w:iCs/>
          <w:color w:val="FF0000"/>
          <w:sz w:val="14"/>
          <w:szCs w:val="14"/>
          <w:lang w:val="en-GB"/>
        </w:rPr>
        <w:t xml:space="preserve">In the case of </w:t>
      </w:r>
      <w:r w:rsidR="00B67EEA" w:rsidRPr="00C205E9">
        <w:rPr>
          <w:rFonts w:ascii="IBM Plex Sans" w:eastAsia="Times New Roman" w:hAnsi="IBM Plex Sans" w:cstheme="minorHAnsi"/>
          <w:bCs/>
          <w:i/>
          <w:iCs/>
          <w:color w:val="FF0000"/>
          <w:sz w:val="14"/>
          <w:szCs w:val="14"/>
          <w:lang w:val="en-GB"/>
        </w:rPr>
        <w:t>A</w:t>
      </w:r>
      <w:r w:rsidR="00B67EEA" w:rsidRPr="00C205E9">
        <w:rPr>
          <w:rFonts w:ascii="IBM Plex Sans" w:hAnsi="IBM Plex Sans" w:cstheme="minorHAnsi"/>
          <w:bCs/>
          <w:i/>
          <w:iCs/>
          <w:color w:val="FF0000"/>
          <w:sz w:val="14"/>
          <w:szCs w:val="14"/>
        </w:rPr>
        <w:t>DSL</w:t>
      </w:r>
      <w:r w:rsidRPr="00C205E9">
        <w:rPr>
          <w:rFonts w:ascii="IBM Plex Sans" w:hAnsi="IBM Plex Sans" w:cstheme="minorHAnsi"/>
          <w:bCs/>
          <w:i/>
          <w:iCs/>
          <w:color w:val="FF0000"/>
          <w:sz w:val="14"/>
          <w:szCs w:val="14"/>
        </w:rPr>
        <w:t xml:space="preserve">, data services and </w:t>
      </w:r>
      <w:r w:rsidR="00B67EEA" w:rsidRPr="00C205E9">
        <w:rPr>
          <w:rFonts w:ascii="IBM Plex Sans" w:hAnsi="IBM Plex Sans" w:cstheme="minorHAnsi"/>
          <w:bCs/>
          <w:i/>
          <w:iCs/>
          <w:color w:val="FF0000"/>
          <w:sz w:val="14"/>
          <w:szCs w:val="14"/>
        </w:rPr>
        <w:t>functionality will be lost once the ADSL number(s) have been ported to Vox Telecom.</w:t>
      </w:r>
    </w:p>
    <w:tbl>
      <w:tblPr>
        <w:tblStyle w:val="TableGrid"/>
        <w:tblW w:w="10141" w:type="dxa"/>
        <w:tblLook w:val="04A0" w:firstRow="1" w:lastRow="0" w:firstColumn="1" w:lastColumn="0" w:noHBand="0" w:noVBand="1"/>
      </w:tblPr>
      <w:tblGrid>
        <w:gridCol w:w="8475"/>
        <w:gridCol w:w="1666"/>
      </w:tblGrid>
      <w:tr w:rsidR="00145BAF" w:rsidRPr="00C205E9" w14:paraId="7A64B977" w14:textId="77777777" w:rsidTr="0037604D">
        <w:trPr>
          <w:trHeight w:val="451"/>
        </w:trPr>
        <w:tc>
          <w:tcPr>
            <w:tcW w:w="8475" w:type="dxa"/>
          </w:tcPr>
          <w:p w14:paraId="45670B65" w14:textId="77777777" w:rsidR="00FD786C" w:rsidRPr="00C205E9" w:rsidRDefault="00EC00A4" w:rsidP="00C205E9">
            <w:pPr>
              <w:rPr>
                <w:rFonts w:ascii="IBM Plex Sans" w:hAnsi="IBM Plex Sans" w:cstheme="minorHAnsi"/>
                <w:b/>
                <w:color w:val="55626A"/>
                <w:sz w:val="16"/>
                <w:szCs w:val="16"/>
              </w:rPr>
            </w:pPr>
            <w:commentRangeStart w:id="8"/>
            <w:r w:rsidRPr="00C205E9">
              <w:rPr>
                <w:rFonts w:ascii="IBM Plex Sans" w:hAnsi="IBM Plex Sans" w:cstheme="minorHAnsi"/>
                <w:b/>
                <w:color w:val="55626A"/>
                <w:sz w:val="16"/>
                <w:szCs w:val="16"/>
              </w:rPr>
              <w:t>Section below t</w:t>
            </w:r>
            <w:r w:rsidR="00560DBC" w:rsidRPr="00C205E9">
              <w:rPr>
                <w:rFonts w:ascii="IBM Plex Sans" w:hAnsi="IBM Plex Sans" w:cstheme="minorHAnsi"/>
                <w:b/>
                <w:color w:val="55626A"/>
                <w:sz w:val="16"/>
                <w:szCs w:val="16"/>
              </w:rPr>
              <w:t xml:space="preserve">o be completed only if porting Telkom ISDN number/s. </w:t>
            </w:r>
          </w:p>
          <w:p w14:paraId="058FBC23" w14:textId="53B69476" w:rsidR="00560DBC" w:rsidRPr="00C205E9" w:rsidRDefault="00FD786C" w:rsidP="00C205E9">
            <w:pPr>
              <w:rPr>
                <w:rFonts w:ascii="IBM Plex Sans" w:hAnsi="IBM Plex Sans" w:cstheme="minorHAnsi"/>
                <w:b/>
                <w:color w:val="55626A"/>
                <w:sz w:val="16"/>
                <w:szCs w:val="16"/>
              </w:rPr>
            </w:pPr>
            <w:r w:rsidRPr="00C205E9">
              <w:rPr>
                <w:rFonts w:ascii="IBM Plex Sans" w:hAnsi="IBM Plex Sans" w:cstheme="minorHAnsi"/>
                <w:b/>
                <w:color w:val="55626A"/>
                <w:sz w:val="16"/>
                <w:szCs w:val="16"/>
              </w:rPr>
              <w:t>Specify what must happen after the number</w:t>
            </w:r>
            <w:r w:rsidR="00720F12" w:rsidRPr="00C205E9">
              <w:rPr>
                <w:rFonts w:ascii="IBM Plex Sans" w:hAnsi="IBM Plex Sans" w:cstheme="minorHAnsi"/>
                <w:b/>
                <w:color w:val="55626A"/>
                <w:sz w:val="16"/>
                <w:szCs w:val="16"/>
              </w:rPr>
              <w:t>(</w:t>
            </w:r>
            <w:r w:rsidRPr="00C205E9">
              <w:rPr>
                <w:rFonts w:ascii="IBM Plex Sans" w:hAnsi="IBM Plex Sans" w:cstheme="minorHAnsi"/>
                <w:b/>
                <w:color w:val="55626A"/>
                <w:sz w:val="16"/>
                <w:szCs w:val="16"/>
              </w:rPr>
              <w:t>s</w:t>
            </w:r>
            <w:r w:rsidR="00720F12" w:rsidRPr="00C205E9">
              <w:rPr>
                <w:rFonts w:ascii="IBM Plex Sans" w:hAnsi="IBM Plex Sans" w:cstheme="minorHAnsi"/>
                <w:b/>
                <w:color w:val="55626A"/>
                <w:sz w:val="16"/>
                <w:szCs w:val="16"/>
              </w:rPr>
              <w:t>)</w:t>
            </w:r>
            <w:r w:rsidRPr="00C205E9">
              <w:rPr>
                <w:rFonts w:ascii="IBM Plex Sans" w:hAnsi="IBM Plex Sans" w:cstheme="minorHAnsi"/>
                <w:b/>
                <w:color w:val="55626A"/>
                <w:sz w:val="16"/>
                <w:szCs w:val="16"/>
              </w:rPr>
              <w:t xml:space="preserve"> have been ported to Vox.</w:t>
            </w:r>
            <w:r w:rsidR="00560DBC" w:rsidRPr="00C205E9">
              <w:rPr>
                <w:rFonts w:ascii="IBM Plex Sans" w:hAnsi="IBM Plex Sans" w:cstheme="minorHAnsi"/>
                <w:b/>
                <w:color w:val="55626A"/>
                <w:sz w:val="16"/>
                <w:szCs w:val="16"/>
              </w:rPr>
              <w:br/>
              <w:t>Please select one option</w:t>
            </w:r>
            <w:r w:rsidR="00EC00A4" w:rsidRPr="00C205E9">
              <w:rPr>
                <w:rFonts w:ascii="IBM Plex Sans" w:hAnsi="IBM Plex Sans" w:cstheme="minorHAnsi"/>
                <w:b/>
                <w:color w:val="55626A"/>
                <w:sz w:val="16"/>
                <w:szCs w:val="16"/>
              </w:rPr>
              <w:t xml:space="preserve"> only.</w:t>
            </w:r>
            <w:commentRangeEnd w:id="8"/>
            <w:r w:rsidR="0063726E">
              <w:rPr>
                <w:rStyle w:val="CommentReference"/>
              </w:rPr>
              <w:commentReference w:id="8"/>
            </w:r>
          </w:p>
        </w:tc>
        <w:tc>
          <w:tcPr>
            <w:tcW w:w="1666" w:type="dxa"/>
          </w:tcPr>
          <w:p w14:paraId="76314036" w14:textId="6F1F20DA" w:rsidR="00560DBC" w:rsidRPr="00C205E9" w:rsidRDefault="00560DBC" w:rsidP="00C205E9">
            <w:pPr>
              <w:rPr>
                <w:rFonts w:ascii="IBM Plex Sans" w:hAnsi="IBM Plex Sans" w:cstheme="minorHAnsi"/>
                <w:b/>
                <w:color w:val="55626A"/>
                <w:sz w:val="16"/>
                <w:szCs w:val="16"/>
              </w:rPr>
            </w:pPr>
            <w:r w:rsidRPr="00C205E9">
              <w:rPr>
                <w:rFonts w:ascii="IBM Plex Sans" w:hAnsi="IBM Plex Sans" w:cstheme="minorHAnsi"/>
                <w:b/>
                <w:color w:val="55626A"/>
                <w:sz w:val="16"/>
                <w:szCs w:val="16"/>
              </w:rPr>
              <w:t>Tick Applicable Block</w:t>
            </w:r>
          </w:p>
        </w:tc>
      </w:tr>
      <w:tr w:rsidR="00145BAF" w:rsidRPr="00C205E9" w14:paraId="16700693" w14:textId="77777777" w:rsidTr="0037604D">
        <w:trPr>
          <w:trHeight w:val="257"/>
        </w:trPr>
        <w:tc>
          <w:tcPr>
            <w:tcW w:w="8475" w:type="dxa"/>
            <w:vAlign w:val="center"/>
          </w:tcPr>
          <w:p w14:paraId="052C0FE8" w14:textId="55903B7B" w:rsidR="00560DBC" w:rsidRPr="00C205E9" w:rsidRDefault="00EC00A4" w:rsidP="00C205E9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  <w:rPr>
                <w:rFonts w:ascii="IBM Plex Sans" w:hAnsi="IBM Plex Sans" w:cstheme="minorHAnsi"/>
                <w:color w:val="55626A"/>
                <w:sz w:val="16"/>
                <w:szCs w:val="16"/>
              </w:rPr>
            </w:pPr>
            <w:r w:rsidRPr="00C205E9">
              <w:rPr>
                <w:rFonts w:ascii="IBM Plex Sans" w:hAnsi="IBM Plex Sans" w:cstheme="minorHAnsi"/>
                <w:color w:val="55626A"/>
                <w:sz w:val="16"/>
                <w:szCs w:val="16"/>
              </w:rPr>
              <w:t xml:space="preserve">Cancel </w:t>
            </w:r>
            <w:r w:rsidR="00560DBC" w:rsidRPr="00C205E9">
              <w:rPr>
                <w:rFonts w:ascii="IBM Plex Sans" w:hAnsi="IBM Plex Sans" w:cstheme="minorHAnsi"/>
                <w:color w:val="55626A"/>
                <w:sz w:val="16"/>
                <w:szCs w:val="16"/>
              </w:rPr>
              <w:t>ISDN PRI/BRI line</w:t>
            </w:r>
            <w:r w:rsidR="00FD786C" w:rsidRPr="00C205E9">
              <w:rPr>
                <w:rFonts w:ascii="IBM Plex Sans" w:hAnsi="IBM Plex Sans" w:cstheme="minorHAnsi"/>
                <w:color w:val="55626A"/>
                <w:sz w:val="16"/>
                <w:szCs w:val="16"/>
              </w:rPr>
              <w:t>(s)</w:t>
            </w:r>
            <w:r w:rsidR="00560DBC" w:rsidRPr="00C205E9">
              <w:rPr>
                <w:rFonts w:ascii="IBM Plex Sans" w:hAnsi="IBM Plex Sans" w:cstheme="minorHAnsi"/>
                <w:color w:val="55626A"/>
                <w:sz w:val="16"/>
                <w:szCs w:val="16"/>
              </w:rPr>
              <w:t xml:space="preserve"> and th</w:t>
            </w:r>
            <w:r w:rsidR="008B3D66" w:rsidRPr="00C205E9">
              <w:rPr>
                <w:rFonts w:ascii="IBM Plex Sans" w:hAnsi="IBM Plex Sans" w:cstheme="minorHAnsi"/>
                <w:color w:val="55626A"/>
                <w:sz w:val="16"/>
                <w:szCs w:val="16"/>
              </w:rPr>
              <w:t>e balance</w:t>
            </w:r>
            <w:r w:rsidR="00FD786C" w:rsidRPr="00C205E9">
              <w:rPr>
                <w:rFonts w:ascii="IBM Plex Sans" w:hAnsi="IBM Plex Sans" w:cstheme="minorHAnsi"/>
                <w:color w:val="55626A"/>
                <w:sz w:val="16"/>
                <w:szCs w:val="16"/>
              </w:rPr>
              <w:t xml:space="preserve"> of the number range.</w:t>
            </w:r>
          </w:p>
        </w:tc>
        <w:tc>
          <w:tcPr>
            <w:tcW w:w="1666" w:type="dxa"/>
            <w:vAlign w:val="center"/>
          </w:tcPr>
          <w:p w14:paraId="066AEC8F" w14:textId="2B351C52" w:rsidR="00560DBC" w:rsidRPr="00C205E9" w:rsidRDefault="00560DBC" w:rsidP="00C205E9">
            <w:pPr>
              <w:tabs>
                <w:tab w:val="left" w:pos="245"/>
                <w:tab w:val="right" w:leader="dot" w:pos="8988"/>
              </w:tabs>
              <w:spacing w:before="120" w:after="120"/>
              <w:jc w:val="center"/>
              <w:outlineLvl w:val="0"/>
              <w:rPr>
                <w:rFonts w:ascii="IBM Plex Sans" w:eastAsiaTheme="minorHAnsi" w:hAnsi="IBM Plex Sans" w:cstheme="minorHAnsi"/>
                <w:color w:val="55626A"/>
                <w:sz w:val="16"/>
                <w:szCs w:val="16"/>
                <w:lang w:val="en-US" w:eastAsia="en-US"/>
              </w:rPr>
            </w:pPr>
          </w:p>
        </w:tc>
      </w:tr>
      <w:tr w:rsidR="00145BAF" w:rsidRPr="00C205E9" w14:paraId="535B6E0C" w14:textId="77777777" w:rsidTr="0037604D">
        <w:trPr>
          <w:trHeight w:val="80"/>
        </w:trPr>
        <w:tc>
          <w:tcPr>
            <w:tcW w:w="8475" w:type="dxa"/>
            <w:vAlign w:val="center"/>
          </w:tcPr>
          <w:p w14:paraId="27BE45EE" w14:textId="01235D05" w:rsidR="00FD786C" w:rsidRPr="00C205E9" w:rsidRDefault="00E83485" w:rsidP="00C205E9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  <w:rPr>
                <w:rFonts w:ascii="IBM Plex Sans" w:hAnsi="IBM Plex Sans" w:cstheme="minorHAnsi"/>
                <w:color w:val="55626A"/>
                <w:sz w:val="16"/>
                <w:szCs w:val="16"/>
              </w:rPr>
            </w:pPr>
            <w:r w:rsidRPr="00C205E9">
              <w:rPr>
                <w:rFonts w:ascii="IBM Plex Sans" w:hAnsi="IBM Plex Sans" w:cstheme="minorHAnsi"/>
                <w:color w:val="55626A"/>
                <w:sz w:val="16"/>
                <w:szCs w:val="16"/>
              </w:rPr>
              <w:t xml:space="preserve">Keep </w:t>
            </w:r>
            <w:r w:rsidR="00FD786C" w:rsidRPr="00C205E9">
              <w:rPr>
                <w:rFonts w:ascii="IBM Plex Sans" w:hAnsi="IBM Plex Sans" w:cstheme="minorHAnsi"/>
                <w:color w:val="55626A"/>
                <w:sz w:val="16"/>
                <w:szCs w:val="16"/>
              </w:rPr>
              <w:t xml:space="preserve">the PRI/BRI </w:t>
            </w:r>
            <w:r w:rsidR="00720F12" w:rsidRPr="00C205E9">
              <w:rPr>
                <w:rFonts w:ascii="IBM Plex Sans" w:hAnsi="IBM Plex Sans" w:cstheme="minorHAnsi"/>
                <w:color w:val="55626A"/>
                <w:sz w:val="16"/>
                <w:szCs w:val="16"/>
              </w:rPr>
              <w:t xml:space="preserve">service as well as permissible </w:t>
            </w:r>
            <w:r w:rsidR="00FD786C" w:rsidRPr="00C205E9">
              <w:rPr>
                <w:rFonts w:ascii="IBM Plex Sans" w:hAnsi="IBM Plex Sans" w:cstheme="minorHAnsi"/>
                <w:color w:val="55626A"/>
                <w:sz w:val="16"/>
                <w:szCs w:val="16"/>
              </w:rPr>
              <w:t>number blocks</w:t>
            </w:r>
            <w:r w:rsidR="00720F12" w:rsidRPr="00C205E9">
              <w:rPr>
                <w:rFonts w:ascii="IBM Plex Sans" w:hAnsi="IBM Plex Sans" w:cstheme="minorHAnsi"/>
                <w:color w:val="55626A"/>
                <w:sz w:val="16"/>
                <w:szCs w:val="16"/>
              </w:rPr>
              <w:t>.</w:t>
            </w:r>
          </w:p>
        </w:tc>
        <w:tc>
          <w:tcPr>
            <w:tcW w:w="1666" w:type="dxa"/>
            <w:vAlign w:val="center"/>
          </w:tcPr>
          <w:p w14:paraId="498D78AD" w14:textId="77777777" w:rsidR="00FD786C" w:rsidRPr="00C205E9" w:rsidRDefault="00FD786C" w:rsidP="00C205E9">
            <w:pPr>
              <w:jc w:val="center"/>
              <w:rPr>
                <w:rFonts w:ascii="IBM Plex Sans" w:eastAsiaTheme="minorHAnsi" w:hAnsi="IBM Plex Sans" w:cstheme="minorHAnsi"/>
                <w:color w:val="55626A"/>
                <w:sz w:val="16"/>
                <w:szCs w:val="16"/>
                <w:lang w:val="en-US" w:eastAsia="en-US"/>
              </w:rPr>
            </w:pPr>
          </w:p>
        </w:tc>
      </w:tr>
      <w:tr w:rsidR="00145BAF" w:rsidRPr="00C205E9" w14:paraId="43BD98E6" w14:textId="77777777" w:rsidTr="0037604D">
        <w:trPr>
          <w:trHeight w:val="252"/>
        </w:trPr>
        <w:tc>
          <w:tcPr>
            <w:tcW w:w="8475" w:type="dxa"/>
            <w:vAlign w:val="center"/>
          </w:tcPr>
          <w:p w14:paraId="62B8E641" w14:textId="1B61E38B" w:rsidR="00560DBC" w:rsidRPr="00C205E9" w:rsidRDefault="00560DBC" w:rsidP="00C205E9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  <w:rPr>
                <w:rFonts w:ascii="IBM Plex Sans" w:hAnsi="IBM Plex Sans" w:cstheme="minorHAnsi"/>
                <w:color w:val="55626A"/>
                <w:sz w:val="16"/>
                <w:szCs w:val="16"/>
              </w:rPr>
            </w:pPr>
            <w:r w:rsidRPr="00C205E9">
              <w:rPr>
                <w:rFonts w:ascii="IBM Plex Sans" w:hAnsi="IBM Plex Sans" w:cstheme="minorHAnsi"/>
                <w:color w:val="55626A"/>
                <w:sz w:val="16"/>
                <w:szCs w:val="16"/>
              </w:rPr>
              <w:t>Allocat</w:t>
            </w:r>
            <w:r w:rsidR="00EC00A4" w:rsidRPr="00C205E9">
              <w:rPr>
                <w:rFonts w:ascii="IBM Plex Sans" w:hAnsi="IBM Plex Sans" w:cstheme="minorHAnsi"/>
                <w:color w:val="55626A"/>
                <w:sz w:val="16"/>
                <w:szCs w:val="16"/>
              </w:rPr>
              <w:t>e a new block of numbers to the ISDN PRI/BRI line</w:t>
            </w:r>
            <w:r w:rsidR="00FD786C" w:rsidRPr="00C205E9">
              <w:rPr>
                <w:rFonts w:ascii="IBM Plex Sans" w:hAnsi="IBM Plex Sans" w:cstheme="minorHAnsi"/>
                <w:color w:val="55626A"/>
                <w:sz w:val="16"/>
                <w:szCs w:val="16"/>
              </w:rPr>
              <w:t>(s)</w:t>
            </w:r>
            <w:r w:rsidR="008B3D66" w:rsidRPr="00C205E9">
              <w:rPr>
                <w:rFonts w:ascii="IBM Plex Sans" w:hAnsi="IBM Plex Sans" w:cstheme="minorHAnsi"/>
                <w:color w:val="55626A"/>
                <w:sz w:val="16"/>
                <w:szCs w:val="16"/>
              </w:rPr>
              <w:t>.</w:t>
            </w:r>
          </w:p>
        </w:tc>
        <w:tc>
          <w:tcPr>
            <w:tcW w:w="1666" w:type="dxa"/>
            <w:vAlign w:val="center"/>
          </w:tcPr>
          <w:p w14:paraId="6A6635EF" w14:textId="77777777" w:rsidR="00560DBC" w:rsidRPr="00C205E9" w:rsidRDefault="00560DBC" w:rsidP="00C205E9">
            <w:pPr>
              <w:jc w:val="center"/>
              <w:rPr>
                <w:rFonts w:ascii="IBM Plex Sans" w:eastAsiaTheme="minorHAnsi" w:hAnsi="IBM Plex Sans" w:cstheme="minorHAnsi"/>
                <w:color w:val="55626A"/>
                <w:sz w:val="16"/>
                <w:szCs w:val="16"/>
                <w:lang w:val="en-US" w:eastAsia="en-US"/>
              </w:rPr>
            </w:pPr>
          </w:p>
        </w:tc>
      </w:tr>
    </w:tbl>
    <w:p w14:paraId="7A50797D" w14:textId="77777777" w:rsidR="00EC00A4" w:rsidRPr="00C205E9" w:rsidRDefault="00EC00A4" w:rsidP="00C205E9">
      <w:pPr>
        <w:rPr>
          <w:rFonts w:ascii="IBM Plex Sans" w:hAnsi="IBM Plex Sans" w:cstheme="minorHAnsi"/>
          <w:sz w:val="16"/>
          <w:szCs w:val="16"/>
        </w:rPr>
      </w:pPr>
      <w:bookmarkStart w:id="9" w:name="_Hlk507481727"/>
      <w:bookmarkStart w:id="10" w:name="_Hlk507395122"/>
    </w:p>
    <w:p w14:paraId="19A929ED" w14:textId="16219B0E" w:rsidR="00804EE5" w:rsidRDefault="00EF5390" w:rsidP="00C205E9">
      <w:pPr>
        <w:rPr>
          <w:rFonts w:ascii="IBM Plex Sans" w:hAnsi="IBM Plex Sans" w:cstheme="minorHAnsi"/>
          <w:color w:val="55626A"/>
          <w:sz w:val="16"/>
          <w:szCs w:val="16"/>
        </w:rPr>
      </w:pPr>
      <w:r w:rsidRPr="00C205E9">
        <w:rPr>
          <w:rFonts w:ascii="IBM Plex Sans" w:hAnsi="IBM Plex Sans" w:cstheme="minorHAnsi"/>
          <w:color w:val="55626A"/>
          <w:sz w:val="16"/>
          <w:szCs w:val="16"/>
        </w:rPr>
        <w:t>I hereby confirm that I, (Name and Surname) am duly authorised to sign this docume</w:t>
      </w:r>
      <w:r w:rsidR="0022288D" w:rsidRPr="00C205E9">
        <w:rPr>
          <w:rFonts w:ascii="IBM Plex Sans" w:hAnsi="IBM Plex Sans" w:cstheme="minorHAnsi"/>
          <w:color w:val="55626A"/>
          <w:sz w:val="16"/>
          <w:szCs w:val="16"/>
        </w:rPr>
        <w:t>nt on behalf of (</w:t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t>Company Name) as well as having understood and acknowledging</w:t>
      </w:r>
      <w:r w:rsidRPr="00C205E9">
        <w:rPr>
          <w:rFonts w:ascii="IBM Plex Sans" w:hAnsi="IBM Plex Sans" w:cstheme="minorHAnsi"/>
          <w:color w:val="55626A"/>
          <w:sz w:val="16"/>
          <w:szCs w:val="16"/>
          <w:lang w:eastAsia="en-US"/>
        </w:rPr>
        <w:t xml:space="preserve"> </w:t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t>the above.</w:t>
      </w:r>
      <w:bookmarkEnd w:id="9"/>
      <w:bookmarkEnd w:id="10"/>
    </w:p>
    <w:p w14:paraId="224630FE" w14:textId="77777777" w:rsidR="0037604D" w:rsidRPr="00C205E9" w:rsidRDefault="0037604D" w:rsidP="00C205E9">
      <w:pPr>
        <w:rPr>
          <w:rFonts w:ascii="IBM Plex Sans" w:hAnsi="IBM Plex Sans" w:cstheme="minorHAnsi"/>
          <w:color w:val="55626A"/>
          <w:sz w:val="16"/>
          <w:szCs w:val="16"/>
        </w:rPr>
      </w:pPr>
    </w:p>
    <w:p w14:paraId="1845D243" w14:textId="73728178" w:rsidR="00EF5390" w:rsidRPr="00C205E9" w:rsidRDefault="00804EE5" w:rsidP="00C205E9">
      <w:pPr>
        <w:jc w:val="both"/>
        <w:rPr>
          <w:rFonts w:ascii="IBM Plex Sans" w:hAnsi="IBM Plex Sans" w:cstheme="minorHAnsi"/>
          <w:color w:val="55626A"/>
          <w:sz w:val="16"/>
          <w:szCs w:val="16"/>
        </w:rPr>
      </w:pPr>
      <w:r w:rsidRPr="00C205E9">
        <w:rPr>
          <w:rFonts w:ascii="IBM Plex Sans" w:hAnsi="IBM Plex Sans" w:cstheme="minorHAnsi"/>
          <w:color w:val="55626A"/>
          <w:sz w:val="16"/>
          <w:szCs w:val="16"/>
        </w:rPr>
        <w:tab/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tab/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tab/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tab/>
        <w:t xml:space="preserve">  </w:t>
      </w:r>
    </w:p>
    <w:p w14:paraId="33D7685B" w14:textId="0FC69441" w:rsidR="00EF5390" w:rsidRPr="00C205E9" w:rsidRDefault="00804EE5" w:rsidP="00C205E9">
      <w:pPr>
        <w:pStyle w:val="Footer"/>
        <w:jc w:val="both"/>
        <w:rPr>
          <w:rFonts w:ascii="IBM Plex Sans" w:hAnsi="IBM Plex Sans" w:cstheme="minorHAnsi"/>
          <w:b/>
          <w:color w:val="55626A"/>
          <w:sz w:val="16"/>
          <w:szCs w:val="16"/>
        </w:rPr>
      </w:pPr>
      <w:commentRangeStart w:id="11"/>
      <w:r w:rsidRPr="0037604D">
        <w:rPr>
          <w:rFonts w:ascii="IBM Plex Sans" w:hAnsi="IBM Plex Sans" w:cstheme="minorHAnsi"/>
          <w:color w:val="55626A"/>
          <w:sz w:val="16"/>
          <w:szCs w:val="16"/>
          <w:highlight w:val="yellow"/>
        </w:rPr>
        <w:t>Signature</w:t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t xml:space="preserve">    </w:t>
      </w:r>
      <w:commentRangeEnd w:id="11"/>
      <w:r w:rsidR="002C7A35">
        <w:rPr>
          <w:rStyle w:val="CommentReference"/>
          <w:rFonts w:eastAsiaTheme="minorEastAsia"/>
          <w:lang w:val="en-ZA" w:eastAsia="en-ZA"/>
        </w:rPr>
        <w:commentReference w:id="11"/>
      </w:r>
      <w:r w:rsidRPr="00C205E9">
        <w:rPr>
          <w:rFonts w:ascii="IBM Plex Sans" w:hAnsi="IBM Plex Sans" w:cstheme="minorHAnsi"/>
          <w:color w:val="55626A"/>
          <w:sz w:val="16"/>
          <w:szCs w:val="16"/>
        </w:rPr>
        <w:tab/>
        <w:t xml:space="preserve">                            </w:t>
      </w:r>
      <w:r w:rsidRPr="0037604D">
        <w:rPr>
          <w:rFonts w:ascii="IBM Plex Sans" w:hAnsi="IBM Plex Sans" w:cstheme="minorHAnsi"/>
          <w:color w:val="55626A"/>
          <w:sz w:val="16"/>
          <w:szCs w:val="16"/>
          <w:highlight w:val="yellow"/>
        </w:rPr>
        <w:t>Date</w:t>
      </w:r>
    </w:p>
    <w:sectPr w:rsidR="00EF5390" w:rsidRPr="00C205E9" w:rsidSect="00145BAF">
      <w:headerReference w:type="default" r:id="rId14"/>
      <w:footerReference w:type="even" r:id="rId15"/>
      <w:footerReference w:type="default" r:id="rId16"/>
      <w:footerReference w:type="first" r:id="rId17"/>
      <w:pgSz w:w="12240" w:h="15840"/>
      <w:pgMar w:top="1440" w:right="1080" w:bottom="1440" w:left="1080" w:header="720" w:footer="27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hor" w:initials="A">
    <w:p w14:paraId="52CE2277" w14:textId="77777777" w:rsidR="002C7A35" w:rsidRPr="002C7A35" w:rsidRDefault="002C7A35" w:rsidP="002C7A35">
      <w:pPr>
        <w:shd w:val="clear" w:color="auto" w:fill="FFFFFF"/>
        <w:spacing w:before="100" w:beforeAutospacing="1" w:after="100" w:afterAutospacing="1"/>
        <w:rPr>
          <w:rFonts w:ascii="Lato" w:eastAsia="Times New Roman" w:hAnsi="Lato" w:cs="Times New Roman"/>
          <w:color w:val="212529"/>
          <w:sz w:val="24"/>
          <w:szCs w:val="24"/>
          <w:lang w:val="en-GB" w:eastAsia="zh-CN"/>
        </w:rPr>
      </w:pPr>
      <w:r>
        <w:rPr>
          <w:rStyle w:val="CommentReference"/>
        </w:rPr>
        <w:annotationRef/>
      </w:r>
      <w:r w:rsidRPr="002C7A35">
        <w:rPr>
          <w:rStyle w:val="CommentReference"/>
        </w:rPr>
        <w:t>The information you provide must match exactly what’s on record with your current provider.</w:t>
      </w:r>
    </w:p>
    <w:p w14:paraId="7BFA9502" w14:textId="490D1E59" w:rsidR="002C7A35" w:rsidRPr="002C7A35" w:rsidRDefault="002C7A35">
      <w:pPr>
        <w:pStyle w:val="CommentText"/>
        <w:rPr>
          <w:lang w:val="en-GB"/>
        </w:rPr>
      </w:pPr>
    </w:p>
  </w:comment>
  <w:comment w:id="1" w:author="Author" w:initials="A">
    <w:p w14:paraId="48D0A82A" w14:textId="3D0AC0DE" w:rsidR="006941FD" w:rsidRPr="006941FD" w:rsidRDefault="006941FD" w:rsidP="006941FD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 w:rsidRPr="006941FD">
        <w:rPr>
          <w:rStyle w:val="CommentReference"/>
        </w:rPr>
        <w:t xml:space="preserve">Local address in </w:t>
      </w:r>
      <w:r>
        <w:rPr>
          <w:rStyle w:val="CommentReference"/>
        </w:rPr>
        <w:t>South Africa</w:t>
      </w:r>
      <w:r w:rsidRPr="006941FD">
        <w:rPr>
          <w:rStyle w:val="CommentReference"/>
        </w:rPr>
        <w:t xml:space="preserve"> is mandatory</w:t>
      </w:r>
    </w:p>
    <w:p w14:paraId="5A591A61" w14:textId="6FAA23E7" w:rsidR="006941FD" w:rsidRDefault="006941FD" w:rsidP="006941FD">
      <w:pPr>
        <w:pStyle w:val="CommentText"/>
        <w:rPr>
          <w:rStyle w:val="CommentReference"/>
        </w:rPr>
      </w:pPr>
      <w:r w:rsidRPr="006941FD">
        <w:rPr>
          <w:rStyle w:val="CommentReference"/>
        </w:rPr>
        <w:t>and Address must be in the same geographic zone as the number</w:t>
      </w:r>
      <w:r w:rsidR="009B78D3">
        <w:rPr>
          <w:rStyle w:val="CommentReference"/>
        </w:rPr>
        <w:t>.</w:t>
      </w:r>
    </w:p>
    <w:p w14:paraId="12A3EB94" w14:textId="1C2160A8" w:rsidR="00D94C47" w:rsidRDefault="00D94C47" w:rsidP="006941FD">
      <w:pPr>
        <w:pStyle w:val="CommentText"/>
      </w:pPr>
      <w:r>
        <w:rPr>
          <w:rStyle w:val="CommentReference"/>
        </w:rPr>
        <w:t>And should correspond with address on current Service Operator Invoice.</w:t>
      </w:r>
    </w:p>
  </w:comment>
  <w:comment w:id="2" w:author="Author" w:initials="A">
    <w:p w14:paraId="58D03115" w14:textId="77777777" w:rsidR="00D7296E" w:rsidRDefault="00926F4F" w:rsidP="00AB1D9B">
      <w:pPr>
        <w:pStyle w:val="CommentText"/>
      </w:pPr>
      <w:r>
        <w:rPr>
          <w:rStyle w:val="CommentReference"/>
        </w:rPr>
        <w:annotationRef/>
      </w:r>
      <w:r w:rsidR="00D7296E">
        <w:t>This refers to the way port should be placed, either as single number or range. This information should be defined upfront with the current operator when possible</w:t>
      </w:r>
    </w:p>
  </w:comment>
  <w:comment w:id="3" w:author="Author" w:initials="A">
    <w:p w14:paraId="191303AD" w14:textId="23267F62" w:rsidR="00926F4F" w:rsidRDefault="00926F4F" w:rsidP="00926F4F">
      <w:pPr>
        <w:pStyle w:val="CommentText"/>
      </w:pPr>
      <w:r>
        <w:rPr>
          <w:rStyle w:val="CommentReference"/>
        </w:rPr>
        <w:annotationRef/>
      </w:r>
      <w:r>
        <w:t xml:space="preserve">Site refers to deliverable address. </w:t>
      </w:r>
    </w:p>
    <w:p w14:paraId="0980C111" w14:textId="77777777" w:rsidR="00926F4F" w:rsidRDefault="00926F4F" w:rsidP="00926F4F">
      <w:r>
        <w:t>It can be the same or different when dealing with large accounts, physical will be main company and site will be individual sites.</w:t>
      </w:r>
    </w:p>
    <w:p w14:paraId="447C6D27" w14:textId="2B7B6C03" w:rsidR="00926F4F" w:rsidRDefault="00926F4F">
      <w:pPr>
        <w:pStyle w:val="CommentText"/>
      </w:pPr>
    </w:p>
  </w:comment>
  <w:comment w:id="4" w:author="Author" w:initials="A">
    <w:p w14:paraId="6A7234C6" w14:textId="372BA4BA" w:rsidR="0065024F" w:rsidRDefault="0065024F" w:rsidP="0065024F">
      <w:pPr>
        <w:pStyle w:val="CommentText"/>
      </w:pPr>
      <w:r>
        <w:rPr>
          <w:rStyle w:val="CommentReference"/>
        </w:rPr>
        <w:annotationRef/>
      </w:r>
      <w:r w:rsidR="00B94A5B">
        <w:rPr>
          <w:rStyle w:val="CommentReference"/>
        </w:rPr>
        <w:t>Only if numbers are used for Unified Communication application</w:t>
      </w:r>
    </w:p>
  </w:comment>
  <w:comment w:id="5" w:author="Author" w:initials="A">
    <w:p w14:paraId="7044FB24" w14:textId="77777777" w:rsidR="0051064B" w:rsidRDefault="00302293" w:rsidP="0051064B">
      <w:pPr>
        <w:pStyle w:val="CommentText"/>
      </w:pPr>
      <w:r>
        <w:rPr>
          <w:rStyle w:val="CommentReference"/>
        </w:rPr>
        <w:annotationRef/>
      </w:r>
      <w:r w:rsidR="0051064B">
        <w:t>To fill in if the numbers were confirmed as transferrable.</w:t>
      </w:r>
    </w:p>
    <w:p w14:paraId="5FF428CB" w14:textId="77777777" w:rsidR="0051064B" w:rsidRDefault="0051064B" w:rsidP="0051064B">
      <w:pPr>
        <w:pStyle w:val="CommentText"/>
      </w:pPr>
      <w:r>
        <w:t>Must include 14 business days when it reaches BICS.</w:t>
      </w:r>
    </w:p>
  </w:comment>
  <w:comment w:id="6" w:author="Author" w:initials="A">
    <w:p w14:paraId="018034F6" w14:textId="04C3854B" w:rsidR="00E344FD" w:rsidRDefault="00926F4F" w:rsidP="00926F4F">
      <w:r>
        <w:rPr>
          <w:rStyle w:val="CommentReference"/>
        </w:rPr>
        <w:annotationRef/>
      </w:r>
      <w:r>
        <w:t xml:space="preserve">This will be owner of current service registration account. </w:t>
      </w:r>
    </w:p>
    <w:p w14:paraId="25698685" w14:textId="47E76D56" w:rsidR="00926F4F" w:rsidRDefault="00926F4F" w:rsidP="00926F4F">
      <w:r>
        <w:t>This information will be used when changing managed services with current supplier.</w:t>
      </w:r>
    </w:p>
    <w:p w14:paraId="145A59FB" w14:textId="2CADCA38" w:rsidR="00E344FD" w:rsidRDefault="00E344FD" w:rsidP="00926F4F">
      <w:pPr>
        <w:rPr>
          <w:lang w:val="en-GB" w:eastAsia="zh-CN"/>
        </w:rPr>
      </w:pPr>
    </w:p>
    <w:p w14:paraId="1100F36F" w14:textId="5C5A6FC9" w:rsidR="00926F4F" w:rsidRPr="00926F4F" w:rsidRDefault="00926F4F">
      <w:pPr>
        <w:pStyle w:val="CommentText"/>
        <w:rPr>
          <w:lang w:val="en-GB"/>
        </w:rPr>
      </w:pPr>
    </w:p>
  </w:comment>
  <w:comment w:id="8" w:author="Author" w:initials="A">
    <w:p w14:paraId="590BDF14" w14:textId="77777777" w:rsidR="00D7296E" w:rsidRDefault="0063726E">
      <w:pPr>
        <w:pStyle w:val="CommentText"/>
      </w:pPr>
      <w:r>
        <w:rPr>
          <w:rStyle w:val="CommentReference"/>
        </w:rPr>
        <w:annotationRef/>
      </w:r>
      <w:r w:rsidR="00D7296E">
        <w:t>This section is mandatory if numbers are currently owned by Operator TELKOM.</w:t>
      </w:r>
    </w:p>
    <w:p w14:paraId="3779F6DB" w14:textId="77777777" w:rsidR="00D7296E" w:rsidRDefault="00D7296E">
      <w:pPr>
        <w:pStyle w:val="CommentText"/>
      </w:pPr>
    </w:p>
    <w:p w14:paraId="5CFFFB4F" w14:textId="77777777" w:rsidR="00D7296E" w:rsidRDefault="00D7296E">
      <w:pPr>
        <w:pStyle w:val="CommentText"/>
      </w:pPr>
      <w:r>
        <w:t xml:space="preserve">This can be verified via </w:t>
      </w:r>
      <w:hyperlink r:id="rId1" w:history="1">
        <w:r w:rsidRPr="00BD3033">
          <w:rPr>
            <w:rStyle w:val="Hyperlink"/>
          </w:rPr>
          <w:t>https://www.porting.co.za/PublicWebsite/</w:t>
        </w:r>
      </w:hyperlink>
      <w:r>
        <w:t>.</w:t>
      </w:r>
    </w:p>
    <w:p w14:paraId="6358F80A" w14:textId="77777777" w:rsidR="00D7296E" w:rsidRDefault="00D7296E">
      <w:pPr>
        <w:pStyle w:val="CommentText"/>
      </w:pPr>
    </w:p>
    <w:p w14:paraId="67307883" w14:textId="77777777" w:rsidR="00D7296E" w:rsidRDefault="00D7296E">
      <w:pPr>
        <w:pStyle w:val="CommentText"/>
      </w:pPr>
      <w:r>
        <w:t>Without clear instruction received from the number user, remaining numbers from the range split may be putted in quarantine by TELKOM, resulting numbers downtime experience.</w:t>
      </w:r>
    </w:p>
    <w:p w14:paraId="498C3479" w14:textId="77777777" w:rsidR="00D7296E" w:rsidRDefault="00D7296E">
      <w:pPr>
        <w:pStyle w:val="CommentText"/>
      </w:pPr>
    </w:p>
    <w:p w14:paraId="01E9D2F2" w14:textId="77777777" w:rsidR="00D7296E" w:rsidRDefault="00D7296E" w:rsidP="00BD3033">
      <w:pPr>
        <w:pStyle w:val="CommentText"/>
      </w:pPr>
      <w:r>
        <w:rPr>
          <w:lang w:val="en-GB"/>
        </w:rPr>
        <w:t xml:space="preserve">Not applicable for past ported range. As </w:t>
      </w:r>
      <w:r>
        <w:rPr>
          <w:color w:val="000000"/>
          <w:highlight w:val="white"/>
          <w:lang w:val="en-GB"/>
        </w:rPr>
        <w:t>The range split is not allowed under local porting regulations if the range has already been ported in the past.</w:t>
      </w:r>
      <w:r>
        <w:rPr>
          <w:lang w:val="en-GB"/>
        </w:rPr>
        <w:t xml:space="preserve"> </w:t>
      </w:r>
    </w:p>
  </w:comment>
  <w:comment w:id="11" w:author="Author" w:initials="A">
    <w:p w14:paraId="57C401B1" w14:textId="77777777" w:rsidR="00F95A6D" w:rsidRDefault="002C7A35" w:rsidP="00F95A6D">
      <w:pPr>
        <w:pStyle w:val="CommentText"/>
      </w:pPr>
      <w:r>
        <w:rPr>
          <w:rStyle w:val="CommentReference"/>
        </w:rPr>
        <w:annotationRef/>
      </w:r>
      <w:r w:rsidR="00F95A6D">
        <w:t xml:space="preserve">LOA must be hand/wet signed or using AES and dated within the last 3 months. </w:t>
      </w:r>
    </w:p>
    <w:p w14:paraId="53D4BA98" w14:textId="77777777" w:rsidR="00F95A6D" w:rsidRDefault="00F95A6D" w:rsidP="00F95A6D">
      <w:pPr>
        <w:pStyle w:val="CommentText"/>
      </w:pPr>
      <w:r>
        <w:rPr>
          <w:lang w:val="en-GB"/>
        </w:rPr>
        <w:t>The person signing the LOA and requesting the port must be authorised to make changes on the account with the losing supplier.</w:t>
      </w:r>
      <w:r>
        <w:t xml:space="preserve"> LOAs signed using Advanced Electronic Signature (AES) are accepted in South Africa.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BFA9502" w15:done="0"/>
  <w15:commentEx w15:paraId="12A3EB94" w15:done="0"/>
  <w15:commentEx w15:paraId="58D03115" w15:done="0"/>
  <w15:commentEx w15:paraId="447C6D27" w15:done="0"/>
  <w15:commentEx w15:paraId="6A7234C6" w15:done="0"/>
  <w15:commentEx w15:paraId="5FF428CB" w15:done="0"/>
  <w15:commentEx w15:paraId="1100F36F" w15:done="0"/>
  <w15:commentEx w15:paraId="01E9D2F2" w15:done="0"/>
  <w15:commentEx w15:paraId="53D4BA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BFA9502" w16cid:durableId="25D1998B"/>
  <w16cid:commentId w16cid:paraId="12A3EB94" w16cid:durableId="253CDAAC"/>
  <w16cid:commentId w16cid:paraId="58D03115" w16cid:durableId="2540B674"/>
  <w16cid:commentId w16cid:paraId="447C6D27" w16cid:durableId="2540B684"/>
  <w16cid:commentId w16cid:paraId="6A7234C6" w16cid:durableId="26435827"/>
  <w16cid:commentId w16cid:paraId="5FF428CB" w16cid:durableId="253CDE3D"/>
  <w16cid:commentId w16cid:paraId="1100F36F" w16cid:durableId="2540B6AE"/>
  <w16cid:commentId w16cid:paraId="01E9D2F2" w16cid:durableId="28ABFF39"/>
  <w16cid:commentId w16cid:paraId="53D4BA98" w16cid:durableId="25D199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5A175" w14:textId="77777777" w:rsidR="00D84F00" w:rsidRDefault="00D84F00" w:rsidP="006D6663">
      <w:r>
        <w:separator/>
      </w:r>
    </w:p>
  </w:endnote>
  <w:endnote w:type="continuationSeparator" w:id="0">
    <w:p w14:paraId="309D588F" w14:textId="77777777" w:rsidR="00D84F00" w:rsidRDefault="00D84F00" w:rsidP="006D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85A1" w14:textId="40A9404A" w:rsidR="0042511F" w:rsidRDefault="004251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142EED" wp14:editId="524236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845784199" name="Text Box 2" descr="Confidential - Not for you? Notify the sender and delete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6326C" w14:textId="34F933C0" w:rsidR="0042511F" w:rsidRPr="0042511F" w:rsidRDefault="0042511F" w:rsidP="004251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251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 - Not for you? Notify the sender and delete.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42E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you? Notify the sender and delete.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9F6326C" w14:textId="34F933C0" w:rsidR="0042511F" w:rsidRPr="0042511F" w:rsidRDefault="0042511F" w:rsidP="004251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2511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Confidential - Not for you? Notify the sender and delete.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0575A" w14:textId="6BC0BF4B" w:rsidR="0042511F" w:rsidRDefault="004251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779103" wp14:editId="7129DF1B">
              <wp:simplePos x="685800" y="9715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215477679" name="Text Box 3" descr="Confidential - Not for you? Notify the sender and delete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8415F9" w14:textId="7D4B93D9" w:rsidR="0042511F" w:rsidRPr="0042511F" w:rsidRDefault="0042511F" w:rsidP="004251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251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 - Not for you? Notify the sender and delete.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791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you? Notify the sender and delete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38415F9" w14:textId="7D4B93D9" w:rsidR="0042511F" w:rsidRPr="0042511F" w:rsidRDefault="0042511F" w:rsidP="004251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2511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Confidential - Not for you? Notify the sender and delete.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91315" w14:textId="058C7128" w:rsidR="0042511F" w:rsidRDefault="004251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DDB676" wp14:editId="2DA3E8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447710133" name="Text Box 1" descr="Confidential - Not for you? Notify the sender and delete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65CF85" w14:textId="51D72544" w:rsidR="0042511F" w:rsidRPr="0042511F" w:rsidRDefault="0042511F" w:rsidP="004251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251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 - Not for you? Notify the sender and delete.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DB6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you? Notify the sender and delete.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965CF85" w14:textId="51D72544" w:rsidR="0042511F" w:rsidRPr="0042511F" w:rsidRDefault="0042511F" w:rsidP="004251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2511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Confidential - Not for you? Notify the sender and delete.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18905" w14:textId="77777777" w:rsidR="00D84F00" w:rsidRDefault="00D84F00" w:rsidP="006D6663">
      <w:r>
        <w:separator/>
      </w:r>
    </w:p>
  </w:footnote>
  <w:footnote w:type="continuationSeparator" w:id="0">
    <w:p w14:paraId="4BAE166D" w14:textId="77777777" w:rsidR="00D84F00" w:rsidRDefault="00D84F00" w:rsidP="006D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9CF24" w14:textId="206C7614" w:rsidR="001239AB" w:rsidRPr="00A144C4" w:rsidRDefault="001239AB" w:rsidP="001239AB">
    <w:pPr>
      <w:jc w:val="center"/>
      <w:rPr>
        <w:b/>
        <w:color w:val="FF0000"/>
      </w:rPr>
    </w:pPr>
    <w:r w:rsidRPr="00A144C4">
      <w:rPr>
        <w:b/>
        <w:color w:val="FF0000"/>
      </w:rPr>
      <w:t>Company Letterhead</w:t>
    </w:r>
    <w:r w:rsidR="002C7A35">
      <w:rPr>
        <w:b/>
        <w:color w:val="FF0000"/>
      </w:rPr>
      <w:t xml:space="preserve"> is mandatory</w:t>
    </w:r>
  </w:p>
  <w:p w14:paraId="776FF5DC" w14:textId="77777777" w:rsidR="0021557F" w:rsidRPr="001239AB" w:rsidRDefault="0021557F" w:rsidP="00123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572"/>
    <w:multiLevelType w:val="hybridMultilevel"/>
    <w:tmpl w:val="9A24C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D7B5A"/>
    <w:multiLevelType w:val="hybridMultilevel"/>
    <w:tmpl w:val="F24CE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A7506"/>
    <w:multiLevelType w:val="hybridMultilevel"/>
    <w:tmpl w:val="1D6AB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22CE2"/>
    <w:multiLevelType w:val="multilevel"/>
    <w:tmpl w:val="86026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AA13BD"/>
    <w:multiLevelType w:val="hybridMultilevel"/>
    <w:tmpl w:val="FA928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4C65E7"/>
    <w:multiLevelType w:val="hybridMultilevel"/>
    <w:tmpl w:val="D9144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56350"/>
    <w:multiLevelType w:val="hybridMultilevel"/>
    <w:tmpl w:val="DCD2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1262"/>
    <w:multiLevelType w:val="hybridMultilevel"/>
    <w:tmpl w:val="4288C71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CC5D6D"/>
    <w:multiLevelType w:val="multilevel"/>
    <w:tmpl w:val="E562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833491"/>
    <w:multiLevelType w:val="hybridMultilevel"/>
    <w:tmpl w:val="A9FC97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D7B74"/>
    <w:multiLevelType w:val="hybridMultilevel"/>
    <w:tmpl w:val="BA1C5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E25F6B"/>
    <w:multiLevelType w:val="hybridMultilevel"/>
    <w:tmpl w:val="B70A8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16A3D"/>
    <w:multiLevelType w:val="hybridMultilevel"/>
    <w:tmpl w:val="8AE05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D93ECA"/>
    <w:multiLevelType w:val="hybridMultilevel"/>
    <w:tmpl w:val="2D206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FE07B4"/>
    <w:multiLevelType w:val="hybridMultilevel"/>
    <w:tmpl w:val="471A18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836314">
    <w:abstractNumId w:val="3"/>
  </w:num>
  <w:num w:numId="2" w16cid:durableId="1464616969">
    <w:abstractNumId w:val="11"/>
  </w:num>
  <w:num w:numId="3" w16cid:durableId="1178497552">
    <w:abstractNumId w:val="0"/>
  </w:num>
  <w:num w:numId="4" w16cid:durableId="1642078446">
    <w:abstractNumId w:val="6"/>
  </w:num>
  <w:num w:numId="5" w16cid:durableId="233323328">
    <w:abstractNumId w:val="1"/>
  </w:num>
  <w:num w:numId="6" w16cid:durableId="776027136">
    <w:abstractNumId w:val="5"/>
  </w:num>
  <w:num w:numId="7" w16cid:durableId="1622610185">
    <w:abstractNumId w:val="13"/>
  </w:num>
  <w:num w:numId="8" w16cid:durableId="503210066">
    <w:abstractNumId w:val="12"/>
  </w:num>
  <w:num w:numId="9" w16cid:durableId="1391925276">
    <w:abstractNumId w:val="10"/>
  </w:num>
  <w:num w:numId="10" w16cid:durableId="1841115584">
    <w:abstractNumId w:val="2"/>
  </w:num>
  <w:num w:numId="11" w16cid:durableId="457340663">
    <w:abstractNumId w:val="4"/>
  </w:num>
  <w:num w:numId="12" w16cid:durableId="674920025">
    <w:abstractNumId w:val="9"/>
  </w:num>
  <w:num w:numId="13" w16cid:durableId="956184000">
    <w:abstractNumId w:val="14"/>
  </w:num>
  <w:num w:numId="14" w16cid:durableId="1864437927">
    <w:abstractNumId w:val="7"/>
  </w:num>
  <w:num w:numId="15" w16cid:durableId="379704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63"/>
    <w:rsid w:val="00041E8E"/>
    <w:rsid w:val="00067069"/>
    <w:rsid w:val="00070168"/>
    <w:rsid w:val="00080460"/>
    <w:rsid w:val="00081A17"/>
    <w:rsid w:val="000A48ED"/>
    <w:rsid w:val="000B3DDF"/>
    <w:rsid w:val="000D71AB"/>
    <w:rsid w:val="000E437C"/>
    <w:rsid w:val="001239AB"/>
    <w:rsid w:val="00145BAF"/>
    <w:rsid w:val="001523E6"/>
    <w:rsid w:val="00161BE5"/>
    <w:rsid w:val="001672D3"/>
    <w:rsid w:val="0019380C"/>
    <w:rsid w:val="001C4A42"/>
    <w:rsid w:val="001D756B"/>
    <w:rsid w:val="0021557F"/>
    <w:rsid w:val="0022288D"/>
    <w:rsid w:val="00225A79"/>
    <w:rsid w:val="00241CB8"/>
    <w:rsid w:val="00273984"/>
    <w:rsid w:val="00283A9C"/>
    <w:rsid w:val="0029258D"/>
    <w:rsid w:val="0029519A"/>
    <w:rsid w:val="002963F3"/>
    <w:rsid w:val="002C0DBF"/>
    <w:rsid w:val="002C115C"/>
    <w:rsid w:val="002C7A35"/>
    <w:rsid w:val="002E7666"/>
    <w:rsid w:val="002F264B"/>
    <w:rsid w:val="002F7574"/>
    <w:rsid w:val="00302293"/>
    <w:rsid w:val="00310550"/>
    <w:rsid w:val="00312F2E"/>
    <w:rsid w:val="00315E39"/>
    <w:rsid w:val="00317441"/>
    <w:rsid w:val="003432D1"/>
    <w:rsid w:val="00367E92"/>
    <w:rsid w:val="0037604D"/>
    <w:rsid w:val="003809D5"/>
    <w:rsid w:val="00386EB7"/>
    <w:rsid w:val="003C61CF"/>
    <w:rsid w:val="003D1A09"/>
    <w:rsid w:val="003F5594"/>
    <w:rsid w:val="00414C65"/>
    <w:rsid w:val="0042511F"/>
    <w:rsid w:val="0044506E"/>
    <w:rsid w:val="00465A7B"/>
    <w:rsid w:val="00483F4D"/>
    <w:rsid w:val="00496A7D"/>
    <w:rsid w:val="004A6E24"/>
    <w:rsid w:val="004B2E24"/>
    <w:rsid w:val="004B5BE3"/>
    <w:rsid w:val="004C0D50"/>
    <w:rsid w:val="004D4800"/>
    <w:rsid w:val="0051064B"/>
    <w:rsid w:val="005223E1"/>
    <w:rsid w:val="005226EC"/>
    <w:rsid w:val="00540B53"/>
    <w:rsid w:val="00540EF9"/>
    <w:rsid w:val="00550AF2"/>
    <w:rsid w:val="00554251"/>
    <w:rsid w:val="005570DD"/>
    <w:rsid w:val="00560DBC"/>
    <w:rsid w:val="00576A8F"/>
    <w:rsid w:val="00592A43"/>
    <w:rsid w:val="00596158"/>
    <w:rsid w:val="005962D3"/>
    <w:rsid w:val="005C7C57"/>
    <w:rsid w:val="005F7977"/>
    <w:rsid w:val="00615EDA"/>
    <w:rsid w:val="00617AFA"/>
    <w:rsid w:val="00617DD7"/>
    <w:rsid w:val="0063726E"/>
    <w:rsid w:val="0065024F"/>
    <w:rsid w:val="00652770"/>
    <w:rsid w:val="00654B33"/>
    <w:rsid w:val="00666DFD"/>
    <w:rsid w:val="00666FDF"/>
    <w:rsid w:val="00686BC7"/>
    <w:rsid w:val="006941FD"/>
    <w:rsid w:val="006C16A1"/>
    <w:rsid w:val="006D6663"/>
    <w:rsid w:val="006E6CA8"/>
    <w:rsid w:val="00720F12"/>
    <w:rsid w:val="00734803"/>
    <w:rsid w:val="00743FC7"/>
    <w:rsid w:val="00766034"/>
    <w:rsid w:val="00782A56"/>
    <w:rsid w:val="007A6B82"/>
    <w:rsid w:val="007C6B58"/>
    <w:rsid w:val="00804EE5"/>
    <w:rsid w:val="008149ED"/>
    <w:rsid w:val="00840771"/>
    <w:rsid w:val="00842321"/>
    <w:rsid w:val="00877873"/>
    <w:rsid w:val="0089239A"/>
    <w:rsid w:val="008B3D66"/>
    <w:rsid w:val="008C0132"/>
    <w:rsid w:val="008C126E"/>
    <w:rsid w:val="008D3E1C"/>
    <w:rsid w:val="008D5087"/>
    <w:rsid w:val="008E1FF3"/>
    <w:rsid w:val="008F32DB"/>
    <w:rsid w:val="00926F4F"/>
    <w:rsid w:val="009301F6"/>
    <w:rsid w:val="00930C46"/>
    <w:rsid w:val="0093541D"/>
    <w:rsid w:val="0095293B"/>
    <w:rsid w:val="009B78D3"/>
    <w:rsid w:val="009D3A0A"/>
    <w:rsid w:val="009E11A2"/>
    <w:rsid w:val="009F71EF"/>
    <w:rsid w:val="009F763B"/>
    <w:rsid w:val="00A04750"/>
    <w:rsid w:val="00A61DB7"/>
    <w:rsid w:val="00A81069"/>
    <w:rsid w:val="00AC06E9"/>
    <w:rsid w:val="00AE0633"/>
    <w:rsid w:val="00B03308"/>
    <w:rsid w:val="00B25A1C"/>
    <w:rsid w:val="00B5394D"/>
    <w:rsid w:val="00B67EEA"/>
    <w:rsid w:val="00B77E19"/>
    <w:rsid w:val="00B82595"/>
    <w:rsid w:val="00B94A5B"/>
    <w:rsid w:val="00BB3B03"/>
    <w:rsid w:val="00BD4744"/>
    <w:rsid w:val="00BE3854"/>
    <w:rsid w:val="00BF1F57"/>
    <w:rsid w:val="00C205E9"/>
    <w:rsid w:val="00C36ACA"/>
    <w:rsid w:val="00C64C44"/>
    <w:rsid w:val="00CC23EB"/>
    <w:rsid w:val="00CF0861"/>
    <w:rsid w:val="00D03AC5"/>
    <w:rsid w:val="00D160EC"/>
    <w:rsid w:val="00D30B00"/>
    <w:rsid w:val="00D4109E"/>
    <w:rsid w:val="00D7296E"/>
    <w:rsid w:val="00D84A6A"/>
    <w:rsid w:val="00D84F00"/>
    <w:rsid w:val="00D94C47"/>
    <w:rsid w:val="00D95EA3"/>
    <w:rsid w:val="00DB4E8D"/>
    <w:rsid w:val="00DE3E3A"/>
    <w:rsid w:val="00DF3AD7"/>
    <w:rsid w:val="00E14FC4"/>
    <w:rsid w:val="00E344FD"/>
    <w:rsid w:val="00E45D70"/>
    <w:rsid w:val="00E514BD"/>
    <w:rsid w:val="00E61161"/>
    <w:rsid w:val="00E63EDA"/>
    <w:rsid w:val="00E748DF"/>
    <w:rsid w:val="00E80532"/>
    <w:rsid w:val="00E83485"/>
    <w:rsid w:val="00E95B34"/>
    <w:rsid w:val="00EC00A4"/>
    <w:rsid w:val="00EC1F5E"/>
    <w:rsid w:val="00EC2BFB"/>
    <w:rsid w:val="00EF39F2"/>
    <w:rsid w:val="00EF5390"/>
    <w:rsid w:val="00F013F8"/>
    <w:rsid w:val="00F06FA9"/>
    <w:rsid w:val="00F27F97"/>
    <w:rsid w:val="00F52304"/>
    <w:rsid w:val="00F6308F"/>
    <w:rsid w:val="00F719A2"/>
    <w:rsid w:val="00F95A6D"/>
    <w:rsid w:val="00FC7C9F"/>
    <w:rsid w:val="00F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D20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9AB"/>
    <w:pPr>
      <w:spacing w:after="0" w:line="240" w:lineRule="auto"/>
    </w:pPr>
    <w:rPr>
      <w:rFonts w:eastAsiaTheme="minorEastAsia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663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D6663"/>
  </w:style>
  <w:style w:type="paragraph" w:styleId="Footer">
    <w:name w:val="footer"/>
    <w:basedOn w:val="Normal"/>
    <w:link w:val="FooterChar"/>
    <w:uiPriority w:val="99"/>
    <w:unhideWhenUsed/>
    <w:rsid w:val="006D6663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D6663"/>
  </w:style>
  <w:style w:type="table" w:customStyle="1" w:styleId="ProjectScopeTable">
    <w:name w:val="Project Scope Table"/>
    <w:basedOn w:val="TableNormal"/>
    <w:uiPriority w:val="99"/>
    <w:rsid w:val="00E63EDA"/>
    <w:pPr>
      <w:spacing w:before="120" w:after="120" w:line="240" w:lineRule="auto"/>
    </w:pPr>
    <w:rPr>
      <w:color w:val="404040"/>
      <w:sz w:val="18"/>
      <w:szCs w:val="20"/>
      <w:lang w:eastAsia="ja-JP"/>
    </w:rPr>
    <w:tblPr>
      <w:tblBorders>
        <w:top w:val="single" w:sz="4" w:space="0" w:color="90C226"/>
        <w:left w:val="single" w:sz="4" w:space="0" w:color="90C226"/>
        <w:bottom w:val="single" w:sz="4" w:space="0" w:color="90C226"/>
        <w:right w:val="single" w:sz="4" w:space="0" w:color="90C226"/>
        <w:insideH w:val="single" w:sz="4" w:space="0" w:color="90C226"/>
        <w:insideV w:val="single" w:sz="4" w:space="0" w:color="90C226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E9F6D0"/>
        <w:vAlign w:val="bottom"/>
      </w:tcPr>
    </w:tblStylePr>
    <w:tblStylePr w:type="lastRow">
      <w:rPr>
        <w:b/>
        <w:color w:val="FFFFFF"/>
      </w:rPr>
      <w:tblPr/>
      <w:tcPr>
        <w:shd w:val="clear" w:color="auto" w:fill="90C226"/>
      </w:tcPr>
    </w:tblStylePr>
  </w:style>
  <w:style w:type="table" w:customStyle="1" w:styleId="ProjectScopeTable1">
    <w:name w:val="Project Scope Table1"/>
    <w:basedOn w:val="TableNormal"/>
    <w:uiPriority w:val="99"/>
    <w:rsid w:val="00596158"/>
    <w:pPr>
      <w:spacing w:before="120" w:after="120" w:line="240" w:lineRule="auto"/>
    </w:pPr>
    <w:rPr>
      <w:color w:val="404040"/>
      <w:sz w:val="18"/>
      <w:szCs w:val="20"/>
      <w:lang w:eastAsia="ja-JP"/>
    </w:rPr>
    <w:tblPr>
      <w:tblBorders>
        <w:top w:val="single" w:sz="4" w:space="0" w:color="90C226"/>
        <w:left w:val="single" w:sz="4" w:space="0" w:color="90C226"/>
        <w:bottom w:val="single" w:sz="4" w:space="0" w:color="90C226"/>
        <w:right w:val="single" w:sz="4" w:space="0" w:color="90C226"/>
        <w:insideH w:val="single" w:sz="4" w:space="0" w:color="90C226"/>
        <w:insideV w:val="single" w:sz="4" w:space="0" w:color="90C226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E9F6D0"/>
        <w:vAlign w:val="bottom"/>
      </w:tcPr>
    </w:tblStylePr>
    <w:tblStylePr w:type="lastRow">
      <w:rPr>
        <w:b/>
        <w:color w:val="FFFFFF"/>
      </w:rPr>
      <w:tblPr/>
      <w:tcPr>
        <w:shd w:val="clear" w:color="auto" w:fill="90C226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734803"/>
    <w:pPr>
      <w:spacing w:after="100" w:line="259" w:lineRule="auto"/>
      <w:ind w:left="220"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348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6BC7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F264B"/>
    <w:pPr>
      <w:spacing w:after="100" w:line="259" w:lineRule="auto"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2F264B"/>
    <w:pPr>
      <w:spacing w:after="0" w:line="240" w:lineRule="auto"/>
    </w:pPr>
    <w:rPr>
      <w:rFonts w:eastAsiaTheme="minorEastAsia"/>
      <w:lang w:val="en-ZA"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BE3854"/>
    <w:pPr>
      <w:spacing w:after="0" w:line="240" w:lineRule="auto"/>
    </w:pPr>
    <w:rPr>
      <w:rFonts w:eastAsiaTheme="minorEastAsia"/>
      <w:lang w:val="en-ZA"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Normal"/>
    <w:qFormat/>
    <w:rsid w:val="00654B33"/>
    <w:pPr>
      <w:suppressLineNumbers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1"/>
    <w:rPr>
      <w:rFonts w:ascii="Segoe UI" w:eastAsiaTheme="minorEastAsia" w:hAnsi="Segoe UI" w:cs="Segoe UI"/>
      <w:sz w:val="18"/>
      <w:szCs w:val="18"/>
      <w:lang w:val="en-ZA"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694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1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41FD"/>
    <w:rPr>
      <w:rFonts w:eastAsiaTheme="minorEastAsia"/>
      <w:sz w:val="20"/>
      <w:szCs w:val="20"/>
      <w:lang w:val="en-ZA"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1FD"/>
    <w:rPr>
      <w:rFonts w:eastAsiaTheme="minorEastAsia"/>
      <w:b/>
      <w:bCs/>
      <w:sz w:val="20"/>
      <w:szCs w:val="20"/>
      <w:lang w:val="en-ZA"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637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rting.co.za/PublicWebsite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FA646291880409598590A09FA5835" ma:contentTypeVersion="12" ma:contentTypeDescription="Create a new document." ma:contentTypeScope="" ma:versionID="197b823408c1831fc6da75a0e2cdec92">
  <xsd:schema xmlns:xsd="http://www.w3.org/2001/XMLSchema" xmlns:xs="http://www.w3.org/2001/XMLSchema" xmlns:p="http://schemas.microsoft.com/office/2006/metadata/properties" xmlns:ns2="37420067-266f-4aa7-8df4-7011af24e07b" xmlns:ns3="3507ad62-da7a-459d-9ab5-d0a2554edabc" targetNamespace="http://schemas.microsoft.com/office/2006/metadata/properties" ma:root="true" ma:fieldsID="604f037565f1132a420fa7b84673f88b" ns2:_="" ns3:_="">
    <xsd:import namespace="37420067-266f-4aa7-8df4-7011af24e07b"/>
    <xsd:import namespace="3507ad62-da7a-459d-9ab5-d0a2554ed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20067-266f-4aa7-8df4-7011af24e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7ad62-da7a-459d-9ab5-d0a2554ed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B2FDD-7A9E-47DA-A080-022FF0D16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20067-266f-4aa7-8df4-7011af24e07b"/>
    <ds:schemaRef ds:uri="3507ad62-da7a-459d-9ab5-d0a2554ed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72DF9-5B1A-42CA-8741-994B4B50F9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7363F8-D661-4B8F-A6C9-BA06E35C44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905F0A-CAEA-4D24-A43B-1F1DEB2173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2025-03-25T21:21:00Z</dcterms:created>
  <dcterms:modified xsi:type="dcterms:W3CDTF">2025-03-25T21:21:00Z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0x010100967FA646291880409598590A09FA5835</vt:lpwstr>
  </property>
  <property fmtid="{D5CDD505-2E9C-101B-9397-08002B2CF9AE}" pid="3" name="ClassificationContentMarkingFooterShapeIds">
    <vt:lpwstr>1aaf83b5,6e046e87,4872b7af</vt:lpwstr>
  </property>
  <property fmtid="{D5CDD505-2E9C-101B-9397-08002B2CF9AE}" pid="4" name="ClassificationContentMarkingFooterFontProps">
    <vt:lpwstr>#000000,7,Calibri</vt:lpwstr>
  </property>
  <property fmtid="{D5CDD505-2E9C-101B-9397-08002B2CF9AE}" pid="5" name="ClassificationContentMarkingFooterText">
    <vt:lpwstr>Confidential - Not for you? Notify the sender and delete.</vt:lpwstr>
  </property>
  <property fmtid="{D5CDD505-2E9C-101B-9397-08002B2CF9AE}" pid="6" name="MSIP_Label_853dbaa7-bacd-4ddc-ae70-159ed0b22943_Enabled">
    <vt:lpwstr>true</vt:lpwstr>
  </property>
  <property fmtid="{D5CDD505-2E9C-101B-9397-08002B2CF9AE}" pid="7" name="MSIP_Label_853dbaa7-bacd-4ddc-ae70-159ed0b22943_SetDate">
    <vt:lpwstr>2025-01-07T14:53:19Z</vt:lpwstr>
  </property>
  <property fmtid="{D5CDD505-2E9C-101B-9397-08002B2CF9AE}" pid="8" name="MSIP_Label_853dbaa7-bacd-4ddc-ae70-159ed0b22943_Method">
    <vt:lpwstr>Standard</vt:lpwstr>
  </property>
  <property fmtid="{D5CDD505-2E9C-101B-9397-08002B2CF9AE}" pid="9" name="MSIP_Label_853dbaa7-bacd-4ddc-ae70-159ed0b22943_Name">
    <vt:lpwstr>Confidential</vt:lpwstr>
  </property>
  <property fmtid="{D5CDD505-2E9C-101B-9397-08002B2CF9AE}" pid="10" name="MSIP_Label_853dbaa7-bacd-4ddc-ae70-159ed0b22943_SiteId">
    <vt:lpwstr>e6757152-613c-446f-9c3c-04ac84057eb9</vt:lpwstr>
  </property>
  <property fmtid="{D5CDD505-2E9C-101B-9397-08002B2CF9AE}" pid="11" name="MSIP_Label_853dbaa7-bacd-4ddc-ae70-159ed0b22943_ActionId">
    <vt:lpwstr>2db50a1e-7a4b-4f4c-bf2e-3d827023712e</vt:lpwstr>
  </property>
  <property fmtid="{D5CDD505-2E9C-101B-9397-08002B2CF9AE}" pid="12" name="MSIP_Label_853dbaa7-bacd-4ddc-ae70-159ed0b22943_ContentBits">
    <vt:lpwstr>2</vt:lpwstr>
  </property>
</Properties>
</file>